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EE" w:rsidRPr="002E26F2" w:rsidRDefault="00AA6D2B" w:rsidP="008F11AD">
      <w:pPr>
        <w:pStyle w:val="Heading2"/>
        <w:tabs>
          <w:tab w:val="left" w:pos="4111"/>
        </w:tabs>
        <w:spacing w:before="0"/>
        <w:ind w:left="-284" w:right="425"/>
        <w:rPr>
          <w:rFonts w:ascii="Arial Black" w:hAnsi="Arial Black" w:cstheme="minorHAnsi"/>
          <w:sz w:val="18"/>
          <w:szCs w:val="18"/>
          <w:vertAlign w:val="superscript"/>
        </w:rPr>
      </w:pPr>
      <w:r>
        <w:rPr>
          <w:rFonts w:ascii="Arial Black" w:hAnsi="Arial Black" w:cstheme="minorHAnsi"/>
          <w:szCs w:val="24"/>
        </w:rPr>
        <w:br/>
      </w:r>
      <w:r w:rsidR="00F04FC2" w:rsidRPr="00430D2E">
        <w:rPr>
          <w:rFonts w:ascii="Arial Black" w:hAnsi="Arial Black" w:cstheme="minorHAnsi"/>
          <w:szCs w:val="24"/>
        </w:rPr>
        <w:t>What r</w:t>
      </w:r>
      <w:r w:rsidR="008F11AD" w:rsidRPr="00430D2E">
        <w:rPr>
          <w:rFonts w:ascii="Arial Black" w:hAnsi="Arial Black" w:cstheme="minorHAnsi"/>
          <w:szCs w:val="24"/>
        </w:rPr>
        <w:t xml:space="preserve">ents </w:t>
      </w:r>
      <w:r w:rsidR="00EA1BE4">
        <w:rPr>
          <w:rFonts w:ascii="Arial Black" w:hAnsi="Arial Black" w:cstheme="minorHAnsi"/>
          <w:szCs w:val="24"/>
        </w:rPr>
        <w:t xml:space="preserve">must </w:t>
      </w:r>
      <w:r w:rsidR="008F11AD" w:rsidRPr="00430D2E">
        <w:rPr>
          <w:rFonts w:ascii="Arial Black" w:hAnsi="Arial Black" w:cstheme="minorHAnsi"/>
          <w:szCs w:val="24"/>
        </w:rPr>
        <w:t>pay</w:t>
      </w:r>
      <w:r w:rsidR="00EE07F9" w:rsidRPr="00430D2E">
        <w:rPr>
          <w:rFonts w:ascii="Arial Black" w:hAnsi="Arial Black" w:cstheme="minorHAnsi"/>
          <w:szCs w:val="24"/>
        </w:rPr>
        <w:t xml:space="preserve"> </w:t>
      </w:r>
      <w:r w:rsidR="00A763EE" w:rsidRPr="00430D2E">
        <w:rPr>
          <w:rFonts w:ascii="Arial Black" w:hAnsi="Arial Black" w:cstheme="minorHAnsi"/>
          <w:szCs w:val="24"/>
        </w:rPr>
        <w:t>for</w:t>
      </w:r>
      <w:r w:rsidR="00EE07F9" w:rsidRPr="00430D2E">
        <w:rPr>
          <w:rFonts w:ascii="Arial Black" w:hAnsi="Arial Black" w:cstheme="minorHAnsi"/>
          <w:szCs w:val="24"/>
        </w:rPr>
        <w:t>:-</w:t>
      </w:r>
      <w:r w:rsidR="00F04FC2" w:rsidRPr="00430D2E">
        <w:rPr>
          <w:rFonts w:ascii="Arial Black" w:hAnsi="Arial Black" w:cstheme="minorHAnsi"/>
          <w:szCs w:val="24"/>
        </w:rPr>
        <w:br/>
      </w:r>
    </w:p>
    <w:p w:rsidR="00E73B6A" w:rsidRDefault="0083388A" w:rsidP="0017126A">
      <w:pPr>
        <w:pStyle w:val="ListParagraph"/>
        <w:numPr>
          <w:ilvl w:val="0"/>
          <w:numId w:val="28"/>
        </w:numPr>
        <w:tabs>
          <w:tab w:val="left" w:pos="4111"/>
        </w:tabs>
        <w:ind w:left="284" w:right="425" w:hanging="436"/>
        <w:jc w:val="both"/>
        <w:rPr>
          <w:rFonts w:asciiTheme="minorHAnsi" w:hAnsiTheme="minorHAnsi" w:cstheme="minorHAnsi"/>
          <w:sz w:val="20"/>
        </w:rPr>
      </w:pPr>
      <w:r w:rsidRPr="0064354D">
        <w:rPr>
          <w:rFonts w:asciiTheme="minorHAnsi" w:hAnsiTheme="minorHAnsi" w:cstheme="minorHAnsi"/>
          <w:b/>
          <w:sz w:val="24"/>
          <w:szCs w:val="24"/>
        </w:rPr>
        <w:t>Interest</w:t>
      </w:r>
      <w:r w:rsidR="004F343A" w:rsidRPr="0064354D">
        <w:rPr>
          <w:rFonts w:asciiTheme="minorHAnsi" w:hAnsiTheme="minorHAnsi" w:cstheme="minorHAnsi"/>
          <w:b/>
          <w:sz w:val="24"/>
          <w:szCs w:val="24"/>
        </w:rPr>
        <w:br/>
      </w:r>
      <w:r w:rsidR="00434B65">
        <w:rPr>
          <w:rFonts w:asciiTheme="minorHAnsi" w:hAnsiTheme="minorHAnsi" w:cstheme="minorHAnsi"/>
          <w:sz w:val="20"/>
        </w:rPr>
        <w:t xml:space="preserve">Interest </w:t>
      </w:r>
      <w:r w:rsidR="00EA1BE4">
        <w:rPr>
          <w:rFonts w:asciiTheme="minorHAnsi" w:hAnsiTheme="minorHAnsi" w:cstheme="minorHAnsi"/>
          <w:sz w:val="20"/>
        </w:rPr>
        <w:t>secures</w:t>
      </w:r>
      <w:r w:rsidR="009C6E59">
        <w:rPr>
          <w:rFonts w:asciiTheme="minorHAnsi" w:hAnsiTheme="minorHAnsi" w:cstheme="minorHAnsi"/>
          <w:sz w:val="20"/>
        </w:rPr>
        <w:t xml:space="preserve"> finance needed to </w:t>
      </w:r>
      <w:r w:rsidR="00EA1BE4">
        <w:rPr>
          <w:rFonts w:asciiTheme="minorHAnsi" w:hAnsiTheme="minorHAnsi" w:cstheme="minorHAnsi"/>
          <w:sz w:val="20"/>
        </w:rPr>
        <w:t>keep</w:t>
      </w:r>
      <w:r w:rsidR="009C6E59">
        <w:rPr>
          <w:rFonts w:asciiTheme="minorHAnsi" w:hAnsiTheme="minorHAnsi" w:cstheme="minorHAnsi"/>
          <w:sz w:val="20"/>
        </w:rPr>
        <w:t xml:space="preserve"> the property available for </w:t>
      </w:r>
      <w:r w:rsidR="00EA1BE4">
        <w:rPr>
          <w:rFonts w:asciiTheme="minorHAnsi" w:hAnsiTheme="minorHAnsi" w:cstheme="minorHAnsi"/>
          <w:sz w:val="20"/>
        </w:rPr>
        <w:t>occupants</w:t>
      </w:r>
      <w:r w:rsidR="00971A97">
        <w:rPr>
          <w:rFonts w:asciiTheme="minorHAnsi" w:hAnsiTheme="minorHAnsi" w:cstheme="minorHAnsi"/>
          <w:sz w:val="20"/>
        </w:rPr>
        <w:t xml:space="preserve">.  </w:t>
      </w:r>
    </w:p>
    <w:p w:rsidR="0083388A" w:rsidRPr="00F114F8" w:rsidRDefault="00F04FC2" w:rsidP="00E73B6A">
      <w:pPr>
        <w:pStyle w:val="ListParagraph"/>
        <w:tabs>
          <w:tab w:val="left" w:pos="4111"/>
        </w:tabs>
        <w:ind w:left="284" w:right="425"/>
        <w:jc w:val="both"/>
        <w:rPr>
          <w:rFonts w:asciiTheme="minorHAnsi" w:hAnsiTheme="minorHAnsi" w:cstheme="minorHAnsi"/>
          <w:sz w:val="16"/>
          <w:szCs w:val="16"/>
        </w:rPr>
      </w:pPr>
      <w:r w:rsidRPr="00F114F8">
        <w:rPr>
          <w:rFonts w:asciiTheme="minorHAnsi" w:hAnsiTheme="minorHAnsi" w:cstheme="minorHAnsi"/>
          <w:sz w:val="16"/>
          <w:szCs w:val="16"/>
        </w:rPr>
        <w:br/>
      </w:r>
    </w:p>
    <w:p w:rsidR="00A763EE" w:rsidRPr="0083388A" w:rsidRDefault="0017126A" w:rsidP="00D95D84">
      <w:pPr>
        <w:pStyle w:val="ListParagraph"/>
        <w:numPr>
          <w:ilvl w:val="0"/>
          <w:numId w:val="28"/>
        </w:numPr>
        <w:tabs>
          <w:tab w:val="left" w:pos="4111"/>
        </w:tabs>
        <w:ind w:left="284" w:right="283" w:hanging="436"/>
        <w:jc w:val="both"/>
        <w:rPr>
          <w:rFonts w:asciiTheme="minorHAnsi" w:hAnsiTheme="minorHAnsi" w:cstheme="minorHAnsi"/>
          <w:sz w:val="20"/>
        </w:rPr>
      </w:pPr>
      <w:r w:rsidRPr="0064354D">
        <w:rPr>
          <w:rFonts w:asciiTheme="minorHAnsi" w:hAnsiTheme="minorHAnsi" w:cstheme="minorHAnsi"/>
          <w:b/>
          <w:sz w:val="24"/>
          <w:szCs w:val="24"/>
        </w:rPr>
        <w:t>Rates and</w:t>
      </w:r>
      <w:r w:rsidR="0083388A" w:rsidRPr="0064354D">
        <w:rPr>
          <w:rFonts w:asciiTheme="minorHAnsi" w:hAnsiTheme="minorHAnsi" w:cstheme="minorHAnsi"/>
          <w:b/>
          <w:sz w:val="24"/>
          <w:szCs w:val="24"/>
        </w:rPr>
        <w:t xml:space="preserve"> insurance </w:t>
      </w:r>
      <w:r w:rsidR="008E01A9" w:rsidRPr="0064354D">
        <w:rPr>
          <w:rFonts w:asciiTheme="minorHAnsi" w:hAnsiTheme="minorHAnsi" w:cstheme="minorHAnsi"/>
          <w:b/>
          <w:sz w:val="24"/>
          <w:szCs w:val="24"/>
        </w:rPr>
        <w:br/>
      </w:r>
      <w:r w:rsidR="00EA1BE4">
        <w:rPr>
          <w:rFonts w:asciiTheme="minorHAnsi" w:hAnsiTheme="minorHAnsi" w:cstheme="minorHAnsi"/>
          <w:sz w:val="20"/>
        </w:rPr>
        <w:t>House users</w:t>
      </w:r>
      <w:r w:rsidR="00CD7D46">
        <w:rPr>
          <w:rFonts w:asciiTheme="minorHAnsi" w:hAnsiTheme="minorHAnsi" w:cstheme="minorHAnsi"/>
          <w:sz w:val="20"/>
        </w:rPr>
        <w:t xml:space="preserve"> receive</w:t>
      </w:r>
      <w:proofErr w:type="gramStart"/>
      <w:r w:rsidR="00662079">
        <w:rPr>
          <w:rFonts w:asciiTheme="minorHAnsi" w:hAnsiTheme="minorHAnsi" w:cstheme="minorHAnsi"/>
          <w:sz w:val="20"/>
        </w:rPr>
        <w:t>:-</w:t>
      </w:r>
      <w:proofErr w:type="gramEnd"/>
      <w:r w:rsidR="00662079">
        <w:rPr>
          <w:rFonts w:asciiTheme="minorHAnsi" w:hAnsiTheme="minorHAnsi" w:cstheme="minorHAnsi"/>
          <w:sz w:val="20"/>
        </w:rPr>
        <w:t xml:space="preserve"> </w:t>
      </w:r>
      <w:r w:rsidR="00CD7D46">
        <w:rPr>
          <w:rFonts w:asciiTheme="minorHAnsi" w:hAnsiTheme="minorHAnsi" w:cstheme="minorHAnsi"/>
          <w:sz w:val="20"/>
        </w:rPr>
        <w:t>all w</w:t>
      </w:r>
      <w:r w:rsidR="00662079">
        <w:rPr>
          <w:rFonts w:asciiTheme="minorHAnsi" w:hAnsiTheme="minorHAnsi" w:cstheme="minorHAnsi"/>
          <w:sz w:val="20"/>
        </w:rPr>
        <w:t>aste removals, water, paved s</w:t>
      </w:r>
      <w:r w:rsidR="00662079" w:rsidRPr="0083388A">
        <w:rPr>
          <w:rFonts w:asciiTheme="minorHAnsi" w:hAnsiTheme="minorHAnsi" w:cstheme="minorHAnsi"/>
          <w:sz w:val="20"/>
        </w:rPr>
        <w:t>treets</w:t>
      </w:r>
      <w:r w:rsidR="00CD7D46">
        <w:rPr>
          <w:rFonts w:asciiTheme="minorHAnsi" w:hAnsiTheme="minorHAnsi" w:cstheme="minorHAnsi"/>
          <w:sz w:val="20"/>
        </w:rPr>
        <w:t xml:space="preserve">, parks, </w:t>
      </w:r>
      <w:r w:rsidR="00FB1657">
        <w:rPr>
          <w:rFonts w:asciiTheme="minorHAnsi" w:hAnsiTheme="minorHAnsi" w:cstheme="minorHAnsi"/>
          <w:sz w:val="20"/>
        </w:rPr>
        <w:t>playgrounds</w:t>
      </w:r>
      <w:r w:rsidR="00CD7D46">
        <w:rPr>
          <w:rFonts w:asciiTheme="minorHAnsi" w:hAnsiTheme="minorHAnsi" w:cstheme="minorHAnsi"/>
          <w:sz w:val="20"/>
        </w:rPr>
        <w:t>,</w:t>
      </w:r>
      <w:r w:rsidR="00662079">
        <w:rPr>
          <w:rFonts w:asciiTheme="minorHAnsi" w:hAnsiTheme="minorHAnsi" w:cstheme="minorHAnsi"/>
          <w:sz w:val="20"/>
        </w:rPr>
        <w:t xml:space="preserve"> major damage prote</w:t>
      </w:r>
      <w:r w:rsidR="00662079">
        <w:rPr>
          <w:rFonts w:asciiTheme="minorHAnsi" w:hAnsiTheme="minorHAnsi" w:cstheme="minorHAnsi"/>
          <w:sz w:val="20"/>
        </w:rPr>
        <w:t>c</w:t>
      </w:r>
      <w:r w:rsidR="00662079">
        <w:rPr>
          <w:rFonts w:asciiTheme="minorHAnsi" w:hAnsiTheme="minorHAnsi" w:cstheme="minorHAnsi"/>
          <w:sz w:val="20"/>
        </w:rPr>
        <w:t>tion and much more.</w:t>
      </w:r>
      <w:r w:rsidR="00662079">
        <w:rPr>
          <w:rFonts w:asciiTheme="minorHAnsi" w:hAnsiTheme="minorHAnsi" w:cstheme="minorHAnsi"/>
          <w:sz w:val="20"/>
        </w:rPr>
        <w:br/>
      </w:r>
      <w:r w:rsidR="00F114F8">
        <w:rPr>
          <w:rFonts w:asciiTheme="minorHAnsi" w:hAnsiTheme="minorHAnsi" w:cstheme="minorHAnsi"/>
          <w:sz w:val="20"/>
        </w:rPr>
        <w:br/>
      </w:r>
    </w:p>
    <w:p w:rsidR="00FC64CD" w:rsidRPr="00F114F8" w:rsidRDefault="00FC64CD" w:rsidP="0017126A">
      <w:pPr>
        <w:pStyle w:val="ListParagraph"/>
        <w:numPr>
          <w:ilvl w:val="0"/>
          <w:numId w:val="28"/>
        </w:numPr>
        <w:tabs>
          <w:tab w:val="left" w:pos="4111"/>
        </w:tabs>
        <w:ind w:left="284" w:right="425" w:hanging="436"/>
        <w:jc w:val="both"/>
        <w:rPr>
          <w:rFonts w:asciiTheme="minorHAnsi" w:hAnsiTheme="minorHAnsi" w:cstheme="minorHAnsi"/>
          <w:sz w:val="16"/>
          <w:szCs w:val="16"/>
        </w:rPr>
      </w:pPr>
      <w:r w:rsidRPr="0064354D">
        <w:rPr>
          <w:rFonts w:asciiTheme="minorHAnsi" w:hAnsiTheme="minorHAnsi" w:cstheme="minorHAnsi"/>
          <w:b/>
          <w:sz w:val="24"/>
          <w:szCs w:val="24"/>
        </w:rPr>
        <w:t>Maintenance</w:t>
      </w:r>
      <w:r w:rsidR="0083388A" w:rsidRPr="006435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29B6" w:rsidRPr="0064354D">
        <w:rPr>
          <w:rFonts w:asciiTheme="minorHAnsi" w:hAnsiTheme="minorHAnsi" w:cstheme="minorHAnsi"/>
          <w:b/>
          <w:sz w:val="24"/>
          <w:szCs w:val="24"/>
        </w:rPr>
        <w:br/>
      </w:r>
      <w:r w:rsidR="00FB1657">
        <w:rPr>
          <w:sz w:val="20"/>
        </w:rPr>
        <w:t xml:space="preserve">Buildings and appliances </w:t>
      </w:r>
      <w:r w:rsidR="00CD7D46">
        <w:rPr>
          <w:sz w:val="20"/>
        </w:rPr>
        <w:t xml:space="preserve">require </w:t>
      </w:r>
      <w:r w:rsidR="00F114F8" w:rsidRPr="006762C6">
        <w:rPr>
          <w:sz w:val="20"/>
        </w:rPr>
        <w:t xml:space="preserve">materials </w:t>
      </w:r>
      <w:r w:rsidR="00052194">
        <w:rPr>
          <w:sz w:val="20"/>
        </w:rPr>
        <w:t>and w</w:t>
      </w:r>
      <w:r w:rsidR="00052194" w:rsidRPr="006762C6">
        <w:rPr>
          <w:sz w:val="20"/>
        </w:rPr>
        <w:t>a</w:t>
      </w:r>
      <w:r w:rsidR="00052194" w:rsidRPr="006762C6">
        <w:rPr>
          <w:sz w:val="20"/>
        </w:rPr>
        <w:t>g</w:t>
      </w:r>
      <w:r w:rsidR="00052194" w:rsidRPr="006762C6">
        <w:rPr>
          <w:sz w:val="20"/>
        </w:rPr>
        <w:t>es</w:t>
      </w:r>
      <w:r w:rsidR="00052194">
        <w:rPr>
          <w:sz w:val="20"/>
        </w:rPr>
        <w:t xml:space="preserve"> </w:t>
      </w:r>
      <w:r w:rsidR="00F114F8">
        <w:rPr>
          <w:sz w:val="20"/>
        </w:rPr>
        <w:t>to keep</w:t>
      </w:r>
      <w:r w:rsidR="00CD7D46">
        <w:rPr>
          <w:sz w:val="20"/>
        </w:rPr>
        <w:t xml:space="preserve"> them</w:t>
      </w:r>
      <w:r w:rsidR="00F114F8">
        <w:rPr>
          <w:sz w:val="20"/>
        </w:rPr>
        <w:t xml:space="preserve"> </w:t>
      </w:r>
      <w:r w:rsidR="00FB1657">
        <w:rPr>
          <w:sz w:val="20"/>
        </w:rPr>
        <w:t>effective</w:t>
      </w:r>
      <w:r w:rsidR="00F114F8" w:rsidRPr="006762C6">
        <w:rPr>
          <w:sz w:val="20"/>
        </w:rPr>
        <w:t xml:space="preserve">.  </w:t>
      </w:r>
      <w:r w:rsidR="00F114F8">
        <w:rPr>
          <w:sz w:val="20"/>
        </w:rPr>
        <w:br/>
      </w:r>
      <w:r w:rsidR="00F114F8" w:rsidRPr="00F114F8">
        <w:rPr>
          <w:sz w:val="16"/>
          <w:szCs w:val="16"/>
        </w:rPr>
        <w:br/>
      </w:r>
    </w:p>
    <w:p w:rsidR="0083388A" w:rsidRPr="00F114F8" w:rsidRDefault="0083388A" w:rsidP="0017126A">
      <w:pPr>
        <w:pStyle w:val="ListParagraph"/>
        <w:numPr>
          <w:ilvl w:val="0"/>
          <w:numId w:val="28"/>
        </w:numPr>
        <w:tabs>
          <w:tab w:val="left" w:pos="4111"/>
        </w:tabs>
        <w:ind w:left="284" w:right="425" w:hanging="436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4354D">
        <w:rPr>
          <w:rFonts w:asciiTheme="minorHAnsi" w:hAnsiTheme="minorHAnsi" w:cstheme="minorHAnsi"/>
          <w:b/>
          <w:sz w:val="24"/>
          <w:szCs w:val="24"/>
        </w:rPr>
        <w:t>Administration</w:t>
      </w:r>
      <w:r w:rsidR="008A16B0" w:rsidRPr="006435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01A9" w:rsidRPr="0064354D">
        <w:rPr>
          <w:rFonts w:asciiTheme="minorHAnsi" w:hAnsiTheme="minorHAnsi" w:cstheme="minorHAnsi"/>
          <w:b/>
          <w:sz w:val="24"/>
          <w:szCs w:val="24"/>
        </w:rPr>
        <w:br/>
      </w:r>
      <w:r w:rsidR="008A16B0" w:rsidRPr="008A16B0">
        <w:rPr>
          <w:rFonts w:asciiTheme="minorHAnsi" w:hAnsiTheme="minorHAnsi" w:cstheme="minorHAnsi"/>
          <w:sz w:val="20"/>
        </w:rPr>
        <w:t>Wages</w:t>
      </w:r>
      <w:r w:rsidR="00A255E9">
        <w:rPr>
          <w:rFonts w:asciiTheme="minorHAnsi" w:hAnsiTheme="minorHAnsi" w:cstheme="minorHAnsi"/>
          <w:sz w:val="20"/>
        </w:rPr>
        <w:t>,</w:t>
      </w:r>
      <w:r w:rsidR="008A16B0" w:rsidRPr="008A16B0">
        <w:rPr>
          <w:rFonts w:asciiTheme="minorHAnsi" w:hAnsiTheme="minorHAnsi" w:cstheme="minorHAnsi"/>
          <w:sz w:val="20"/>
        </w:rPr>
        <w:t xml:space="preserve"> </w:t>
      </w:r>
      <w:r w:rsidR="00FB1657">
        <w:rPr>
          <w:rFonts w:asciiTheme="minorHAnsi" w:hAnsiTheme="minorHAnsi" w:cstheme="minorHAnsi"/>
          <w:sz w:val="20"/>
        </w:rPr>
        <w:t xml:space="preserve">transport and </w:t>
      </w:r>
      <w:r w:rsidR="00A255E9">
        <w:rPr>
          <w:rFonts w:asciiTheme="minorHAnsi" w:hAnsiTheme="minorHAnsi" w:cstheme="minorHAnsi"/>
          <w:sz w:val="20"/>
        </w:rPr>
        <w:t>equipment</w:t>
      </w:r>
      <w:r w:rsidR="00FB1657">
        <w:rPr>
          <w:rFonts w:asciiTheme="minorHAnsi" w:hAnsiTheme="minorHAnsi" w:cstheme="minorHAnsi"/>
          <w:sz w:val="20"/>
        </w:rPr>
        <w:t xml:space="preserve"> are </w:t>
      </w:r>
      <w:r w:rsidR="00A255E9">
        <w:rPr>
          <w:rFonts w:asciiTheme="minorHAnsi" w:hAnsiTheme="minorHAnsi" w:cstheme="minorHAnsi"/>
          <w:sz w:val="20"/>
        </w:rPr>
        <w:t>all needed</w:t>
      </w:r>
      <w:r w:rsidR="00FB1657">
        <w:rPr>
          <w:rFonts w:asciiTheme="minorHAnsi" w:hAnsiTheme="minorHAnsi" w:cstheme="minorHAnsi"/>
          <w:sz w:val="20"/>
        </w:rPr>
        <w:t xml:space="preserve"> </w:t>
      </w:r>
      <w:r w:rsidR="00A255E9">
        <w:rPr>
          <w:rFonts w:asciiTheme="minorHAnsi" w:hAnsiTheme="minorHAnsi" w:cstheme="minorHAnsi"/>
          <w:sz w:val="20"/>
        </w:rPr>
        <w:t>for</w:t>
      </w:r>
      <w:r w:rsidR="008A16B0">
        <w:rPr>
          <w:rFonts w:asciiTheme="minorHAnsi" w:hAnsiTheme="minorHAnsi" w:cstheme="minorHAnsi"/>
          <w:sz w:val="20"/>
        </w:rPr>
        <w:t xml:space="preserve"> record</w:t>
      </w:r>
      <w:r w:rsidR="00A255E9">
        <w:rPr>
          <w:rFonts w:asciiTheme="minorHAnsi" w:hAnsiTheme="minorHAnsi" w:cstheme="minorHAnsi"/>
          <w:sz w:val="20"/>
        </w:rPr>
        <w:t xml:space="preserve"> keeping</w:t>
      </w:r>
      <w:r w:rsidR="008A16B0">
        <w:rPr>
          <w:rFonts w:asciiTheme="minorHAnsi" w:hAnsiTheme="minorHAnsi" w:cstheme="minorHAnsi"/>
          <w:sz w:val="20"/>
        </w:rPr>
        <w:t>, meetings, inspections</w:t>
      </w:r>
      <w:r w:rsidR="00FB1657">
        <w:rPr>
          <w:rFonts w:asciiTheme="minorHAnsi" w:hAnsiTheme="minorHAnsi" w:cstheme="minorHAnsi"/>
          <w:sz w:val="20"/>
        </w:rPr>
        <w:t xml:space="preserve"> </w:t>
      </w:r>
      <w:r w:rsidR="00E73B6A">
        <w:rPr>
          <w:rFonts w:asciiTheme="minorHAnsi" w:hAnsiTheme="minorHAnsi" w:cstheme="minorHAnsi"/>
          <w:sz w:val="20"/>
        </w:rPr>
        <w:t>and</w:t>
      </w:r>
      <w:r w:rsidR="00F04FC2">
        <w:rPr>
          <w:rFonts w:asciiTheme="minorHAnsi" w:hAnsiTheme="minorHAnsi" w:cstheme="minorHAnsi"/>
          <w:sz w:val="20"/>
        </w:rPr>
        <w:t xml:space="preserve"> </w:t>
      </w:r>
      <w:r w:rsidR="00A255E9">
        <w:rPr>
          <w:rFonts w:asciiTheme="minorHAnsi" w:hAnsiTheme="minorHAnsi" w:cstheme="minorHAnsi"/>
          <w:sz w:val="20"/>
        </w:rPr>
        <w:t>communications</w:t>
      </w:r>
      <w:r w:rsidR="00E73B6A">
        <w:rPr>
          <w:rFonts w:asciiTheme="minorHAnsi" w:hAnsiTheme="minorHAnsi" w:cstheme="minorHAnsi"/>
          <w:sz w:val="20"/>
        </w:rPr>
        <w:t>.</w:t>
      </w:r>
      <w:r w:rsidR="00F04FC2">
        <w:rPr>
          <w:rFonts w:asciiTheme="minorHAnsi" w:hAnsiTheme="minorHAnsi" w:cstheme="minorHAnsi"/>
          <w:sz w:val="20"/>
        </w:rPr>
        <w:t xml:space="preserve"> </w:t>
      </w:r>
      <w:r w:rsidR="008264E2">
        <w:rPr>
          <w:rFonts w:asciiTheme="minorHAnsi" w:hAnsiTheme="minorHAnsi" w:cstheme="minorHAnsi"/>
          <w:sz w:val="20"/>
        </w:rPr>
        <w:br/>
      </w:r>
    </w:p>
    <w:p w:rsidR="00F04FC2" w:rsidRPr="00F114F8" w:rsidRDefault="00F04FC2" w:rsidP="00F04FC2">
      <w:pPr>
        <w:pStyle w:val="ListParagraph"/>
        <w:tabs>
          <w:tab w:val="left" w:pos="4111"/>
        </w:tabs>
        <w:ind w:left="284" w:right="425"/>
        <w:rPr>
          <w:rFonts w:asciiTheme="minorHAnsi" w:hAnsiTheme="minorHAnsi" w:cstheme="minorHAnsi"/>
          <w:b/>
          <w:sz w:val="16"/>
          <w:szCs w:val="16"/>
        </w:rPr>
      </w:pPr>
    </w:p>
    <w:p w:rsidR="00B86157" w:rsidRPr="00F114F8" w:rsidRDefault="00A929B6" w:rsidP="0017126A">
      <w:pPr>
        <w:pStyle w:val="ListParagraph"/>
        <w:numPr>
          <w:ilvl w:val="0"/>
          <w:numId w:val="28"/>
        </w:numPr>
        <w:tabs>
          <w:tab w:val="left" w:pos="4111"/>
        </w:tabs>
        <w:ind w:left="284" w:right="425" w:hanging="436"/>
        <w:jc w:val="both"/>
        <w:rPr>
          <w:rFonts w:asciiTheme="minorHAnsi" w:hAnsiTheme="minorHAnsi" w:cstheme="minorHAnsi"/>
          <w:b/>
          <w:sz w:val="20"/>
        </w:rPr>
      </w:pPr>
      <w:r w:rsidRPr="0064354D">
        <w:rPr>
          <w:rFonts w:asciiTheme="minorHAnsi" w:hAnsiTheme="minorHAnsi" w:cstheme="minorHAnsi"/>
          <w:b/>
          <w:sz w:val="24"/>
          <w:szCs w:val="24"/>
        </w:rPr>
        <w:t xml:space="preserve">Replacements </w:t>
      </w:r>
      <w:r w:rsidR="004F343A" w:rsidRPr="0064354D">
        <w:rPr>
          <w:rFonts w:asciiTheme="minorHAnsi" w:hAnsiTheme="minorHAnsi" w:cstheme="minorHAnsi"/>
          <w:b/>
          <w:sz w:val="24"/>
          <w:szCs w:val="24"/>
        </w:rPr>
        <w:br/>
      </w:r>
      <w:r w:rsidR="00FB1657" w:rsidRPr="00E013E1">
        <w:rPr>
          <w:rFonts w:asciiTheme="minorHAnsi" w:hAnsiTheme="minorHAnsi" w:cstheme="minorHAnsi"/>
          <w:b/>
          <w:sz w:val="20"/>
        </w:rPr>
        <w:t>W</w:t>
      </w:r>
      <w:r w:rsidR="007A7EDF" w:rsidRPr="00E013E1">
        <w:rPr>
          <w:rFonts w:asciiTheme="minorHAnsi" w:hAnsiTheme="minorHAnsi" w:cstheme="minorHAnsi"/>
          <w:b/>
          <w:sz w:val="20"/>
        </w:rPr>
        <w:t>ear</w:t>
      </w:r>
      <w:r w:rsidR="00E013E1">
        <w:rPr>
          <w:rFonts w:asciiTheme="minorHAnsi" w:hAnsiTheme="minorHAnsi" w:cstheme="minorHAnsi"/>
          <w:b/>
          <w:sz w:val="20"/>
        </w:rPr>
        <w:t>,</w:t>
      </w:r>
      <w:r w:rsidR="007A7EDF" w:rsidRPr="00E013E1">
        <w:rPr>
          <w:rFonts w:asciiTheme="minorHAnsi" w:hAnsiTheme="minorHAnsi" w:cstheme="minorHAnsi"/>
          <w:b/>
          <w:sz w:val="20"/>
        </w:rPr>
        <w:t xml:space="preserve"> rust and rot</w:t>
      </w:r>
      <w:r w:rsidR="007A7EDF">
        <w:rPr>
          <w:rFonts w:asciiTheme="minorHAnsi" w:hAnsiTheme="minorHAnsi" w:cstheme="minorHAnsi"/>
          <w:sz w:val="20"/>
        </w:rPr>
        <w:t xml:space="preserve"> </w:t>
      </w:r>
      <w:r w:rsidR="002D4F0B">
        <w:rPr>
          <w:rFonts w:asciiTheme="minorHAnsi" w:hAnsiTheme="minorHAnsi" w:cstheme="minorHAnsi"/>
          <w:sz w:val="20"/>
        </w:rPr>
        <w:t>take</w:t>
      </w:r>
      <w:r w:rsidR="00FB1657">
        <w:rPr>
          <w:rFonts w:asciiTheme="minorHAnsi" w:hAnsiTheme="minorHAnsi" w:cstheme="minorHAnsi"/>
          <w:sz w:val="20"/>
        </w:rPr>
        <w:t xml:space="preserve"> </w:t>
      </w:r>
      <w:r w:rsidR="002D4F0B">
        <w:rPr>
          <w:rFonts w:asciiTheme="minorHAnsi" w:hAnsiTheme="minorHAnsi" w:cstheme="minorHAnsi"/>
          <w:sz w:val="20"/>
        </w:rPr>
        <w:t>periodic</w:t>
      </w:r>
      <w:r w:rsidR="00FB1657">
        <w:rPr>
          <w:rFonts w:asciiTheme="minorHAnsi" w:hAnsiTheme="minorHAnsi" w:cstheme="minorHAnsi"/>
          <w:sz w:val="20"/>
        </w:rPr>
        <w:t xml:space="preserve"> </w:t>
      </w:r>
      <w:r w:rsidR="002D4F0B">
        <w:rPr>
          <w:rFonts w:asciiTheme="minorHAnsi" w:hAnsiTheme="minorHAnsi" w:cstheme="minorHAnsi"/>
          <w:sz w:val="20"/>
        </w:rPr>
        <w:t>payments</w:t>
      </w:r>
      <w:r w:rsidR="00FB1657">
        <w:rPr>
          <w:rFonts w:asciiTheme="minorHAnsi" w:hAnsiTheme="minorHAnsi" w:cstheme="minorHAnsi"/>
          <w:sz w:val="20"/>
        </w:rPr>
        <w:t xml:space="preserve"> to replace or refurbish </w:t>
      </w:r>
      <w:r w:rsidR="00E013E1">
        <w:rPr>
          <w:rFonts w:asciiTheme="minorHAnsi" w:hAnsiTheme="minorHAnsi" w:cstheme="minorHAnsi"/>
          <w:sz w:val="20"/>
        </w:rPr>
        <w:t xml:space="preserve">around 16 different </w:t>
      </w:r>
      <w:r w:rsidR="00FB1657">
        <w:rPr>
          <w:rFonts w:asciiTheme="minorHAnsi" w:hAnsiTheme="minorHAnsi" w:cstheme="minorHAnsi"/>
          <w:sz w:val="20"/>
        </w:rPr>
        <w:t xml:space="preserve">major </w:t>
      </w:r>
      <w:r w:rsidR="002D4F0B">
        <w:rPr>
          <w:rFonts w:asciiTheme="minorHAnsi" w:hAnsiTheme="minorHAnsi" w:cstheme="minorHAnsi"/>
          <w:sz w:val="20"/>
        </w:rPr>
        <w:t>items</w:t>
      </w:r>
      <w:r w:rsidR="008F0AB8">
        <w:rPr>
          <w:rFonts w:asciiTheme="minorHAnsi" w:hAnsiTheme="minorHAnsi" w:cstheme="minorHAnsi"/>
          <w:sz w:val="20"/>
        </w:rPr>
        <w:t>.</w:t>
      </w:r>
      <w:r w:rsidR="00E013E1">
        <w:rPr>
          <w:rFonts w:asciiTheme="minorHAnsi" w:hAnsiTheme="minorHAnsi" w:cstheme="minorHAnsi"/>
          <w:sz w:val="20"/>
        </w:rPr>
        <w:t xml:space="preserve"> </w:t>
      </w:r>
      <w:r w:rsidR="007A7EDF">
        <w:rPr>
          <w:rFonts w:asciiTheme="minorHAnsi" w:hAnsiTheme="minorHAnsi" w:cstheme="minorHAnsi"/>
          <w:sz w:val="20"/>
        </w:rPr>
        <w:t xml:space="preserve"> </w:t>
      </w:r>
      <w:r w:rsidR="00E013E1">
        <w:rPr>
          <w:rFonts w:asciiTheme="minorHAnsi" w:hAnsiTheme="minorHAnsi" w:cstheme="minorHAnsi"/>
          <w:sz w:val="20"/>
        </w:rPr>
        <w:t xml:space="preserve">Rents must </w:t>
      </w:r>
      <w:r w:rsidR="002D4F0B">
        <w:rPr>
          <w:rFonts w:asciiTheme="minorHAnsi" w:hAnsiTheme="minorHAnsi" w:cstheme="minorHAnsi"/>
          <w:sz w:val="20"/>
        </w:rPr>
        <w:t>meet</w:t>
      </w:r>
      <w:r w:rsidR="005C3F74">
        <w:rPr>
          <w:rFonts w:asciiTheme="minorHAnsi" w:hAnsiTheme="minorHAnsi" w:cstheme="minorHAnsi"/>
          <w:sz w:val="20"/>
        </w:rPr>
        <w:t xml:space="preserve"> the weekly repayments </w:t>
      </w:r>
      <w:r w:rsidR="007B557D">
        <w:rPr>
          <w:rFonts w:asciiTheme="minorHAnsi" w:hAnsiTheme="minorHAnsi" w:cstheme="minorHAnsi"/>
          <w:sz w:val="20"/>
        </w:rPr>
        <w:t>for table</w:t>
      </w:r>
      <w:r w:rsidR="005C3F74">
        <w:rPr>
          <w:rFonts w:asciiTheme="minorHAnsi" w:hAnsiTheme="minorHAnsi" w:cstheme="minorHAnsi"/>
          <w:sz w:val="20"/>
        </w:rPr>
        <w:t xml:space="preserve"> </w:t>
      </w:r>
      <w:r w:rsidR="007B557D">
        <w:rPr>
          <w:rFonts w:asciiTheme="minorHAnsi" w:hAnsiTheme="minorHAnsi" w:cstheme="minorHAnsi"/>
          <w:sz w:val="20"/>
        </w:rPr>
        <w:t>(reducing)</w:t>
      </w:r>
      <w:r w:rsidR="007B557D">
        <w:rPr>
          <w:rFonts w:asciiTheme="minorHAnsi" w:hAnsiTheme="minorHAnsi" w:cstheme="minorHAnsi"/>
          <w:sz w:val="20"/>
        </w:rPr>
        <w:t xml:space="preserve"> </w:t>
      </w:r>
      <w:r w:rsidR="005C3F74">
        <w:rPr>
          <w:rFonts w:asciiTheme="minorHAnsi" w:hAnsiTheme="minorHAnsi" w:cstheme="minorHAnsi"/>
          <w:sz w:val="20"/>
        </w:rPr>
        <w:t>loan</w:t>
      </w:r>
      <w:r w:rsidR="007A7EDF">
        <w:rPr>
          <w:rFonts w:asciiTheme="minorHAnsi" w:hAnsiTheme="minorHAnsi" w:cstheme="minorHAnsi"/>
          <w:sz w:val="20"/>
        </w:rPr>
        <w:t xml:space="preserve">s </w:t>
      </w:r>
      <w:r w:rsidR="007B557D">
        <w:rPr>
          <w:rFonts w:asciiTheme="minorHAnsi" w:hAnsiTheme="minorHAnsi" w:cstheme="minorHAnsi"/>
          <w:sz w:val="20"/>
        </w:rPr>
        <w:t>needed for the life of each item</w:t>
      </w:r>
      <w:r w:rsidR="00BF7E36">
        <w:rPr>
          <w:rFonts w:asciiTheme="minorHAnsi" w:hAnsiTheme="minorHAnsi" w:cstheme="minorHAnsi"/>
          <w:sz w:val="20"/>
        </w:rPr>
        <w:t xml:space="preserve">.  </w:t>
      </w:r>
      <w:r w:rsidR="007A7EDF">
        <w:rPr>
          <w:rFonts w:asciiTheme="minorHAnsi" w:hAnsiTheme="minorHAnsi" w:cstheme="minorHAnsi"/>
          <w:sz w:val="20"/>
        </w:rPr>
        <w:t xml:space="preserve"> </w:t>
      </w:r>
      <w:r w:rsidR="008E01A9">
        <w:rPr>
          <w:rFonts w:asciiTheme="minorHAnsi" w:hAnsiTheme="minorHAnsi" w:cstheme="minorHAnsi"/>
          <w:sz w:val="20"/>
        </w:rPr>
        <w:t>(See over)</w:t>
      </w:r>
    </w:p>
    <w:p w:rsidR="00F114F8" w:rsidRDefault="00F114F8" w:rsidP="00F114F8">
      <w:pPr>
        <w:pStyle w:val="ListParagraph"/>
        <w:rPr>
          <w:rFonts w:asciiTheme="minorHAnsi" w:hAnsiTheme="minorHAnsi" w:cstheme="minorHAnsi"/>
          <w:b/>
          <w:sz w:val="16"/>
          <w:szCs w:val="16"/>
        </w:rPr>
      </w:pPr>
    </w:p>
    <w:p w:rsidR="002E26F2" w:rsidRPr="002E26F2" w:rsidRDefault="002E26F2" w:rsidP="00F114F8">
      <w:pPr>
        <w:pStyle w:val="ListParagraph"/>
        <w:rPr>
          <w:rFonts w:asciiTheme="minorHAnsi" w:hAnsiTheme="minorHAnsi" w:cstheme="minorHAnsi"/>
          <w:b/>
          <w:sz w:val="16"/>
          <w:szCs w:val="16"/>
        </w:rPr>
      </w:pPr>
    </w:p>
    <w:p w:rsidR="00F114F8" w:rsidRPr="00F04FC2" w:rsidRDefault="00002A65" w:rsidP="0017126A">
      <w:pPr>
        <w:pStyle w:val="ListParagraph"/>
        <w:numPr>
          <w:ilvl w:val="0"/>
          <w:numId w:val="28"/>
        </w:numPr>
        <w:tabs>
          <w:tab w:val="left" w:pos="4111"/>
        </w:tabs>
        <w:ind w:left="284" w:right="425" w:hanging="436"/>
        <w:jc w:val="both"/>
        <w:rPr>
          <w:rFonts w:asciiTheme="minorHAnsi" w:hAnsiTheme="minorHAnsi" w:cstheme="minorHAnsi"/>
          <w:b/>
          <w:sz w:val="20"/>
        </w:rPr>
      </w:pPr>
      <w:r>
        <w:rPr>
          <w:b/>
          <w:sz w:val="24"/>
          <w:szCs w:val="24"/>
        </w:rPr>
        <w:t xml:space="preserve">Special </w:t>
      </w:r>
      <w:r w:rsidR="00F114F8" w:rsidRPr="00F114F8">
        <w:rPr>
          <w:b/>
          <w:sz w:val="24"/>
          <w:szCs w:val="24"/>
        </w:rPr>
        <w:t>Landlord taxes</w:t>
      </w:r>
      <w:r w:rsidR="00F114F8">
        <w:t xml:space="preserve"> </w:t>
      </w:r>
    </w:p>
    <w:p w:rsidR="003F77D0" w:rsidRDefault="003F77D0" w:rsidP="0090279F">
      <w:pPr>
        <w:ind w:left="284" w:right="425"/>
        <w:jc w:val="both"/>
        <w:rPr>
          <w:sz w:val="20"/>
        </w:rPr>
      </w:pPr>
      <w:r>
        <w:rPr>
          <w:sz w:val="20"/>
        </w:rPr>
        <w:t>During</w:t>
      </w:r>
      <w:r w:rsidR="002D4F0B">
        <w:rPr>
          <w:sz w:val="20"/>
        </w:rPr>
        <w:t xml:space="preserve"> 2024 man</w:t>
      </w:r>
      <w:r>
        <w:rPr>
          <w:sz w:val="20"/>
        </w:rPr>
        <w:t>y rentals generate rental taxes exceeding $100 weekly.  (</w:t>
      </w:r>
      <w:r w:rsidR="00002A65">
        <w:rPr>
          <w:sz w:val="20"/>
        </w:rPr>
        <w:t xml:space="preserve">These </w:t>
      </w:r>
      <w:r>
        <w:rPr>
          <w:sz w:val="20"/>
        </w:rPr>
        <w:t>will substantia</w:t>
      </w:r>
      <w:r>
        <w:rPr>
          <w:sz w:val="20"/>
        </w:rPr>
        <w:t>l</w:t>
      </w:r>
      <w:r>
        <w:rPr>
          <w:sz w:val="20"/>
        </w:rPr>
        <w:t>ly reduce in 2025)</w:t>
      </w:r>
    </w:p>
    <w:p w:rsidR="003F77D0" w:rsidRDefault="003F77D0" w:rsidP="0090279F">
      <w:pPr>
        <w:ind w:left="284" w:right="425"/>
        <w:jc w:val="both"/>
        <w:rPr>
          <w:sz w:val="20"/>
        </w:rPr>
      </w:pPr>
    </w:p>
    <w:p w:rsidR="002E26F2" w:rsidRDefault="00002A65" w:rsidP="0090279F">
      <w:pPr>
        <w:ind w:left="284" w:right="425"/>
        <w:jc w:val="both"/>
        <w:rPr>
          <w:sz w:val="20"/>
        </w:rPr>
      </w:pPr>
      <w:r>
        <w:rPr>
          <w:sz w:val="20"/>
        </w:rPr>
        <w:t>.</w:t>
      </w:r>
    </w:p>
    <w:p w:rsidR="005C3F74" w:rsidRDefault="005C3F74" w:rsidP="0090279F">
      <w:pPr>
        <w:ind w:left="284" w:right="425"/>
        <w:jc w:val="both"/>
        <w:rPr>
          <w:sz w:val="20"/>
        </w:rPr>
      </w:pPr>
    </w:p>
    <w:p w:rsidR="002E26F2" w:rsidRDefault="002E26F2" w:rsidP="005C3F74">
      <w:pPr>
        <w:tabs>
          <w:tab w:val="left" w:pos="4111"/>
        </w:tabs>
        <w:ind w:left="0" w:right="425"/>
        <w:rPr>
          <w:rFonts w:asciiTheme="minorHAnsi" w:hAnsiTheme="minorHAnsi" w:cstheme="minorHAnsi"/>
          <w:b/>
          <w:sz w:val="16"/>
          <w:szCs w:val="16"/>
        </w:rPr>
      </w:pPr>
    </w:p>
    <w:p w:rsidR="005C3F74" w:rsidRPr="005C3F74" w:rsidRDefault="005C3F74" w:rsidP="005C3F74">
      <w:pPr>
        <w:tabs>
          <w:tab w:val="left" w:pos="4111"/>
        </w:tabs>
        <w:ind w:left="0" w:right="425"/>
        <w:rPr>
          <w:rFonts w:asciiTheme="minorHAnsi" w:hAnsiTheme="minorHAnsi" w:cstheme="minorHAnsi"/>
          <w:b/>
          <w:sz w:val="16"/>
          <w:szCs w:val="16"/>
        </w:rPr>
      </w:pPr>
    </w:p>
    <w:p w:rsidR="00AC60CB" w:rsidRPr="00DA33D4" w:rsidRDefault="007A7EDF" w:rsidP="002E26F2">
      <w:pPr>
        <w:ind w:left="284" w:right="425"/>
        <w:rPr>
          <w:highlight w:val="yellow"/>
        </w:rPr>
      </w:pPr>
      <w:r>
        <w:rPr>
          <w:rFonts w:asciiTheme="minorHAnsi" w:hAnsiTheme="minorHAnsi" w:cstheme="minorHAnsi"/>
          <w:b/>
          <w:sz w:val="24"/>
          <w:szCs w:val="24"/>
        </w:rPr>
        <w:t>When c</w:t>
      </w:r>
      <w:r w:rsidR="00DA33D4">
        <w:rPr>
          <w:rFonts w:asciiTheme="minorHAnsi" w:hAnsiTheme="minorHAnsi" w:cstheme="minorHAnsi"/>
          <w:b/>
          <w:sz w:val="24"/>
          <w:szCs w:val="24"/>
        </w:rPr>
        <w:t xml:space="preserve">osts excessively exceed rents </w:t>
      </w:r>
      <w:r w:rsidR="002E26F2">
        <w:rPr>
          <w:rFonts w:asciiTheme="minorHAnsi" w:hAnsiTheme="minorHAnsi" w:cstheme="minorHAnsi"/>
          <w:b/>
          <w:sz w:val="24"/>
          <w:szCs w:val="24"/>
        </w:rPr>
        <w:t xml:space="preserve">investors </w:t>
      </w:r>
      <w:r w:rsidR="00421174">
        <w:rPr>
          <w:rFonts w:asciiTheme="minorHAnsi" w:hAnsiTheme="minorHAnsi" w:cstheme="minorHAnsi"/>
          <w:b/>
          <w:sz w:val="24"/>
          <w:szCs w:val="24"/>
        </w:rPr>
        <w:t>quit</w:t>
      </w:r>
      <w:r w:rsidR="005D1FDF">
        <w:rPr>
          <w:highlight w:val="yellow"/>
        </w:rPr>
        <w:br w:type="column"/>
      </w:r>
      <w:r w:rsidR="00DA5796" w:rsidRPr="008264E2">
        <w:rPr>
          <w:rFonts w:ascii="Arial Black" w:hAnsi="Arial Black"/>
          <w:sz w:val="24"/>
          <w:szCs w:val="24"/>
        </w:rPr>
        <w:lastRenderedPageBreak/>
        <w:t>Tenants</w:t>
      </w:r>
      <w:r w:rsidR="00445F58" w:rsidRPr="008264E2">
        <w:rPr>
          <w:rFonts w:ascii="Arial Black" w:hAnsi="Arial Black"/>
          <w:sz w:val="24"/>
          <w:szCs w:val="24"/>
        </w:rPr>
        <w:t xml:space="preserve">’ </w:t>
      </w:r>
      <w:r w:rsidR="00403EF4" w:rsidRPr="008264E2">
        <w:rPr>
          <w:rFonts w:ascii="Arial Black" w:hAnsi="Arial Black"/>
          <w:sz w:val="24"/>
          <w:szCs w:val="24"/>
        </w:rPr>
        <w:t>Benefits</w:t>
      </w:r>
      <w:r w:rsidR="00AC60CB" w:rsidRPr="008264E2">
        <w:rPr>
          <w:rFonts w:ascii="Arial Black" w:hAnsi="Arial Black"/>
          <w:sz w:val="24"/>
          <w:szCs w:val="24"/>
        </w:rPr>
        <w:t>:</w:t>
      </w:r>
    </w:p>
    <w:p w:rsidR="00BD351E" w:rsidRPr="00331E8A" w:rsidRDefault="00BD351E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Shelter from the weather and cold</w:t>
      </w:r>
    </w:p>
    <w:p w:rsidR="00AC60CB" w:rsidRPr="00331E8A" w:rsidRDefault="00AC60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 xml:space="preserve">Security for possessions </w:t>
      </w:r>
      <w:r w:rsidR="00087B2F" w:rsidRPr="00331E8A">
        <w:rPr>
          <w:rFonts w:asciiTheme="minorHAnsi" w:hAnsiTheme="minorHAnsi" w:cstheme="minorHAnsi"/>
          <w:sz w:val="20"/>
        </w:rPr>
        <w:t>and</w:t>
      </w:r>
      <w:r w:rsidRPr="00331E8A">
        <w:rPr>
          <w:rFonts w:asciiTheme="minorHAnsi" w:hAnsiTheme="minorHAnsi" w:cstheme="minorHAnsi"/>
          <w:sz w:val="20"/>
        </w:rPr>
        <w:t xml:space="preserve"> family</w:t>
      </w:r>
    </w:p>
    <w:p w:rsidR="00E80419" w:rsidRPr="00331E8A" w:rsidRDefault="00E80419" w:rsidP="00E80419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Clean hot and cold water</w:t>
      </w:r>
      <w:r w:rsidR="000C751D">
        <w:rPr>
          <w:rFonts w:asciiTheme="minorHAnsi" w:hAnsiTheme="minorHAnsi" w:cstheme="minorHAnsi"/>
          <w:sz w:val="20"/>
        </w:rPr>
        <w:t xml:space="preserve"> on tap</w:t>
      </w:r>
    </w:p>
    <w:p w:rsidR="00AC60CB" w:rsidRPr="00331E8A" w:rsidRDefault="00AC60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Facilities for cooking</w:t>
      </w:r>
      <w:r w:rsidR="00403EF4" w:rsidRPr="00331E8A">
        <w:rPr>
          <w:rFonts w:asciiTheme="minorHAnsi" w:hAnsiTheme="minorHAnsi" w:cstheme="minorHAnsi"/>
          <w:sz w:val="20"/>
        </w:rPr>
        <w:t>,</w:t>
      </w:r>
      <w:r w:rsidRPr="00331E8A">
        <w:rPr>
          <w:rFonts w:asciiTheme="minorHAnsi" w:hAnsiTheme="minorHAnsi" w:cstheme="minorHAnsi"/>
          <w:sz w:val="20"/>
        </w:rPr>
        <w:t xml:space="preserve"> washing and bathing</w:t>
      </w:r>
    </w:p>
    <w:p w:rsidR="00AC60CB" w:rsidRPr="008E01A9" w:rsidRDefault="00AC60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8E01A9">
        <w:rPr>
          <w:rFonts w:asciiTheme="minorHAnsi" w:hAnsiTheme="minorHAnsi" w:cstheme="minorHAnsi"/>
          <w:sz w:val="20"/>
        </w:rPr>
        <w:t>Access to power</w:t>
      </w:r>
      <w:r w:rsidR="00663246" w:rsidRPr="008E01A9">
        <w:rPr>
          <w:rFonts w:asciiTheme="minorHAnsi" w:hAnsiTheme="minorHAnsi" w:cstheme="minorHAnsi"/>
          <w:sz w:val="20"/>
        </w:rPr>
        <w:t xml:space="preserve"> </w:t>
      </w:r>
      <w:r w:rsidR="008E01A9">
        <w:rPr>
          <w:rFonts w:asciiTheme="minorHAnsi" w:hAnsiTheme="minorHAnsi" w:cstheme="minorHAnsi"/>
          <w:sz w:val="20"/>
        </w:rPr>
        <w:t>for heating, cooking, hot water</w:t>
      </w:r>
    </w:p>
    <w:p w:rsidR="00AC60CB" w:rsidRPr="00331E8A" w:rsidRDefault="00AC60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 xml:space="preserve">Disposal of </w:t>
      </w:r>
      <w:r w:rsidR="0033218B" w:rsidRPr="00331E8A">
        <w:rPr>
          <w:rFonts w:asciiTheme="minorHAnsi" w:hAnsiTheme="minorHAnsi" w:cstheme="minorHAnsi"/>
          <w:sz w:val="20"/>
        </w:rPr>
        <w:t>liquid</w:t>
      </w:r>
      <w:r w:rsidRPr="00331E8A">
        <w:rPr>
          <w:rFonts w:asciiTheme="minorHAnsi" w:hAnsiTheme="minorHAnsi" w:cstheme="minorHAnsi"/>
          <w:sz w:val="20"/>
        </w:rPr>
        <w:t xml:space="preserve"> wastes</w:t>
      </w:r>
    </w:p>
    <w:p w:rsidR="00AC60CB" w:rsidRPr="00331E8A" w:rsidRDefault="008C3451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 xml:space="preserve">Disposal </w:t>
      </w:r>
      <w:r>
        <w:rPr>
          <w:rFonts w:asciiTheme="minorHAnsi" w:hAnsiTheme="minorHAnsi" w:cstheme="minorHAnsi"/>
          <w:sz w:val="20"/>
        </w:rPr>
        <w:t>of h</w:t>
      </w:r>
      <w:r w:rsidR="00760A9D" w:rsidRPr="00331E8A">
        <w:rPr>
          <w:rFonts w:asciiTheme="minorHAnsi" w:hAnsiTheme="minorHAnsi" w:cstheme="minorHAnsi"/>
          <w:sz w:val="20"/>
        </w:rPr>
        <w:t>ousehold r</w:t>
      </w:r>
      <w:r w:rsidR="0010481B" w:rsidRPr="00331E8A">
        <w:rPr>
          <w:rFonts w:asciiTheme="minorHAnsi" w:hAnsiTheme="minorHAnsi" w:cstheme="minorHAnsi"/>
          <w:sz w:val="20"/>
        </w:rPr>
        <w:t>ubbish</w:t>
      </w:r>
    </w:p>
    <w:p w:rsidR="00AC60CB" w:rsidRPr="00331E8A" w:rsidRDefault="00760A9D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Bus</w:t>
      </w:r>
      <w:r w:rsidR="00AC60CB" w:rsidRPr="00331E8A">
        <w:rPr>
          <w:rFonts w:asciiTheme="minorHAnsi" w:hAnsiTheme="minorHAnsi" w:cstheme="minorHAnsi"/>
          <w:sz w:val="20"/>
        </w:rPr>
        <w:t xml:space="preserve"> and library service</w:t>
      </w:r>
      <w:r w:rsidR="00403EF4" w:rsidRPr="00331E8A">
        <w:rPr>
          <w:rFonts w:asciiTheme="minorHAnsi" w:hAnsiTheme="minorHAnsi" w:cstheme="minorHAnsi"/>
          <w:sz w:val="20"/>
        </w:rPr>
        <w:t>s</w:t>
      </w:r>
    </w:p>
    <w:p w:rsidR="00AC60CB" w:rsidRPr="00331E8A" w:rsidRDefault="00AC60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 xml:space="preserve">Roads &amp; footpaths for </w:t>
      </w:r>
      <w:r w:rsidR="00B11829" w:rsidRPr="00331E8A">
        <w:rPr>
          <w:rFonts w:asciiTheme="minorHAnsi" w:hAnsiTheme="minorHAnsi" w:cstheme="minorHAnsi"/>
          <w:sz w:val="20"/>
        </w:rPr>
        <w:t>accessibility</w:t>
      </w:r>
    </w:p>
    <w:p w:rsidR="00AC60CB" w:rsidRPr="00331E8A" w:rsidRDefault="00BD351E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Parks</w:t>
      </w:r>
      <w:r w:rsidR="00AC60CB" w:rsidRPr="00331E8A">
        <w:rPr>
          <w:rFonts w:asciiTheme="minorHAnsi" w:hAnsiTheme="minorHAnsi" w:cstheme="minorHAnsi"/>
          <w:sz w:val="20"/>
        </w:rPr>
        <w:t xml:space="preserve"> for enjoyment </w:t>
      </w:r>
      <w:r w:rsidR="00087B2F" w:rsidRPr="00331E8A">
        <w:rPr>
          <w:rFonts w:asciiTheme="minorHAnsi" w:hAnsiTheme="minorHAnsi" w:cstheme="minorHAnsi"/>
          <w:sz w:val="20"/>
        </w:rPr>
        <w:t>and</w:t>
      </w:r>
      <w:r w:rsidR="00AC60CB" w:rsidRPr="00331E8A">
        <w:rPr>
          <w:rFonts w:asciiTheme="minorHAnsi" w:hAnsiTheme="minorHAnsi" w:cstheme="minorHAnsi"/>
          <w:sz w:val="20"/>
        </w:rPr>
        <w:t xml:space="preserve"> relaxation</w:t>
      </w:r>
    </w:p>
    <w:p w:rsidR="00BD351E" w:rsidRPr="00331E8A" w:rsidRDefault="003509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142" w:right="-147" w:hanging="142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</w:t>
      </w:r>
      <w:r w:rsidR="00900C01" w:rsidRPr="00331E8A">
        <w:rPr>
          <w:rFonts w:asciiTheme="minorHAnsi" w:hAnsiTheme="minorHAnsi" w:cstheme="minorHAnsi"/>
          <w:sz w:val="20"/>
        </w:rPr>
        <w:t xml:space="preserve"> </w:t>
      </w:r>
      <w:r w:rsidR="00760A9D" w:rsidRPr="00331E8A">
        <w:rPr>
          <w:rFonts w:asciiTheme="minorHAnsi" w:hAnsiTheme="minorHAnsi" w:cstheme="minorHAnsi"/>
          <w:sz w:val="20"/>
        </w:rPr>
        <w:t xml:space="preserve">huge </w:t>
      </w:r>
      <w:r w:rsidR="00900C01" w:rsidRPr="00331E8A">
        <w:rPr>
          <w:rFonts w:asciiTheme="minorHAnsi" w:hAnsiTheme="minorHAnsi" w:cstheme="minorHAnsi"/>
          <w:sz w:val="20"/>
        </w:rPr>
        <w:t>f</w:t>
      </w:r>
      <w:r w:rsidR="00BD351E" w:rsidRPr="00331E8A">
        <w:rPr>
          <w:rFonts w:asciiTheme="minorHAnsi" w:hAnsiTheme="minorHAnsi" w:cstheme="minorHAnsi"/>
          <w:sz w:val="20"/>
        </w:rPr>
        <w:t xml:space="preserve">inancial </w:t>
      </w:r>
      <w:r w:rsidR="00663246">
        <w:rPr>
          <w:rFonts w:asciiTheme="minorHAnsi" w:hAnsiTheme="minorHAnsi" w:cstheme="minorHAnsi"/>
          <w:sz w:val="20"/>
        </w:rPr>
        <w:t>outlay</w:t>
      </w:r>
      <w:r w:rsidR="000C751D">
        <w:rPr>
          <w:rFonts w:asciiTheme="minorHAnsi" w:hAnsiTheme="minorHAnsi" w:cstheme="minorHAnsi"/>
          <w:sz w:val="20"/>
        </w:rPr>
        <w:t>s</w:t>
      </w:r>
    </w:p>
    <w:p w:rsidR="00E80419" w:rsidRPr="00331E8A" w:rsidRDefault="003509CB" w:rsidP="00E80419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 xml:space="preserve">No </w:t>
      </w:r>
      <w:r w:rsidR="000C751D">
        <w:rPr>
          <w:rFonts w:asciiTheme="minorHAnsi" w:hAnsiTheme="minorHAnsi" w:cstheme="minorHAnsi"/>
          <w:sz w:val="20"/>
        </w:rPr>
        <w:t>long term</w:t>
      </w:r>
      <w:r w:rsidR="00663246">
        <w:rPr>
          <w:rFonts w:asciiTheme="minorHAnsi" w:hAnsiTheme="minorHAnsi" w:cstheme="minorHAnsi"/>
          <w:sz w:val="20"/>
        </w:rPr>
        <w:t xml:space="preserve"> </w:t>
      </w:r>
      <w:r w:rsidR="00900C01" w:rsidRPr="00331E8A">
        <w:rPr>
          <w:rFonts w:asciiTheme="minorHAnsi" w:hAnsiTheme="minorHAnsi" w:cstheme="minorHAnsi"/>
          <w:sz w:val="20"/>
        </w:rPr>
        <w:t>m</w:t>
      </w:r>
      <w:r w:rsidR="00E80419" w:rsidRPr="00331E8A">
        <w:rPr>
          <w:rFonts w:asciiTheme="minorHAnsi" w:hAnsiTheme="minorHAnsi" w:cstheme="minorHAnsi"/>
          <w:sz w:val="20"/>
        </w:rPr>
        <w:t xml:space="preserve">ortgage </w:t>
      </w:r>
      <w:r w:rsidR="000C751D">
        <w:rPr>
          <w:rFonts w:asciiTheme="minorHAnsi" w:hAnsiTheme="minorHAnsi" w:cstheme="minorHAnsi"/>
          <w:sz w:val="20"/>
        </w:rPr>
        <w:t>commitments</w:t>
      </w:r>
    </w:p>
    <w:p w:rsidR="00BD351E" w:rsidRPr="00331E8A" w:rsidRDefault="003509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</w:t>
      </w:r>
      <w:r w:rsidR="00900C01" w:rsidRPr="00331E8A">
        <w:rPr>
          <w:rFonts w:asciiTheme="minorHAnsi" w:hAnsiTheme="minorHAnsi" w:cstheme="minorHAnsi"/>
          <w:sz w:val="20"/>
        </w:rPr>
        <w:t xml:space="preserve"> </w:t>
      </w:r>
      <w:r w:rsidR="000C751D">
        <w:rPr>
          <w:rFonts w:asciiTheme="minorHAnsi" w:hAnsiTheme="minorHAnsi" w:cstheme="minorHAnsi"/>
          <w:sz w:val="20"/>
        </w:rPr>
        <w:t>regular</w:t>
      </w:r>
      <w:r w:rsidR="00BD351E" w:rsidRPr="00331E8A">
        <w:rPr>
          <w:rFonts w:asciiTheme="minorHAnsi" w:hAnsiTheme="minorHAnsi" w:cstheme="minorHAnsi"/>
          <w:sz w:val="20"/>
        </w:rPr>
        <w:t xml:space="preserve"> rate </w:t>
      </w:r>
      <w:r w:rsidR="002E6EBC" w:rsidRPr="00331E8A">
        <w:rPr>
          <w:rFonts w:asciiTheme="minorHAnsi" w:hAnsiTheme="minorHAnsi" w:cstheme="minorHAnsi"/>
          <w:sz w:val="20"/>
        </w:rPr>
        <w:t>payments</w:t>
      </w:r>
    </w:p>
    <w:p w:rsidR="008C3451" w:rsidRPr="00331E8A" w:rsidRDefault="008C3451" w:rsidP="008C3451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 property insurance premiums</w:t>
      </w:r>
    </w:p>
    <w:p w:rsidR="00D31FCE" w:rsidRPr="00331E8A" w:rsidRDefault="003509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</w:t>
      </w:r>
      <w:r w:rsidR="00900C01" w:rsidRPr="00331E8A">
        <w:rPr>
          <w:rFonts w:asciiTheme="minorHAnsi" w:hAnsiTheme="minorHAnsi" w:cstheme="minorHAnsi"/>
          <w:sz w:val="20"/>
        </w:rPr>
        <w:t xml:space="preserve"> b</w:t>
      </w:r>
      <w:r w:rsidR="00D31FCE" w:rsidRPr="00331E8A">
        <w:rPr>
          <w:rFonts w:asciiTheme="minorHAnsi" w:hAnsiTheme="minorHAnsi" w:cstheme="minorHAnsi"/>
          <w:sz w:val="20"/>
        </w:rPr>
        <w:t>uilding maintenance</w:t>
      </w:r>
      <w:r w:rsidR="00157E7E" w:rsidRPr="00331E8A">
        <w:rPr>
          <w:rFonts w:asciiTheme="minorHAnsi" w:hAnsiTheme="minorHAnsi" w:cstheme="minorHAnsi"/>
          <w:sz w:val="20"/>
        </w:rPr>
        <w:t xml:space="preserve"> </w:t>
      </w:r>
      <w:r w:rsidR="00760A9D" w:rsidRPr="00331E8A">
        <w:rPr>
          <w:rFonts w:asciiTheme="minorHAnsi" w:hAnsiTheme="minorHAnsi" w:cstheme="minorHAnsi"/>
          <w:sz w:val="20"/>
        </w:rPr>
        <w:t>and</w:t>
      </w:r>
      <w:r w:rsidR="00157E7E" w:rsidRPr="00331E8A">
        <w:rPr>
          <w:rFonts w:asciiTheme="minorHAnsi" w:hAnsiTheme="minorHAnsi" w:cstheme="minorHAnsi"/>
          <w:sz w:val="20"/>
        </w:rPr>
        <w:t xml:space="preserve"> repairs</w:t>
      </w:r>
      <w:r w:rsidR="00D31FCE" w:rsidRPr="00331E8A">
        <w:rPr>
          <w:rFonts w:asciiTheme="minorHAnsi" w:hAnsiTheme="minorHAnsi" w:cstheme="minorHAnsi"/>
          <w:sz w:val="20"/>
        </w:rPr>
        <w:t xml:space="preserve"> </w:t>
      </w:r>
    </w:p>
    <w:p w:rsidR="00900C01" w:rsidRPr="00331E8A" w:rsidRDefault="00900C01" w:rsidP="004116B2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 xml:space="preserve">Freedom to move </w:t>
      </w:r>
      <w:r w:rsidR="00663246">
        <w:rPr>
          <w:rFonts w:asciiTheme="minorHAnsi" w:hAnsiTheme="minorHAnsi" w:cstheme="minorHAnsi"/>
          <w:sz w:val="20"/>
        </w:rPr>
        <w:t>away</w:t>
      </w:r>
      <w:r w:rsidR="00231895">
        <w:rPr>
          <w:rFonts w:asciiTheme="minorHAnsi" w:hAnsiTheme="minorHAnsi" w:cstheme="minorHAnsi"/>
          <w:sz w:val="20"/>
        </w:rPr>
        <w:t xml:space="preserve"> anytime</w:t>
      </w:r>
    </w:p>
    <w:p w:rsidR="004116B2" w:rsidRPr="00331E8A" w:rsidRDefault="003509CB" w:rsidP="004116B2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</w:t>
      </w:r>
      <w:r w:rsidR="00900C01" w:rsidRPr="00331E8A">
        <w:rPr>
          <w:rFonts w:asciiTheme="minorHAnsi" w:hAnsiTheme="minorHAnsi" w:cstheme="minorHAnsi"/>
          <w:sz w:val="20"/>
        </w:rPr>
        <w:t xml:space="preserve"> </w:t>
      </w:r>
      <w:r w:rsidR="00231895">
        <w:rPr>
          <w:rFonts w:asciiTheme="minorHAnsi" w:hAnsiTheme="minorHAnsi" w:cstheme="minorHAnsi"/>
          <w:sz w:val="20"/>
        </w:rPr>
        <w:t>large</w:t>
      </w:r>
      <w:r w:rsidR="008C3451">
        <w:rPr>
          <w:rFonts w:asciiTheme="minorHAnsi" w:hAnsiTheme="minorHAnsi" w:cstheme="minorHAnsi"/>
          <w:sz w:val="20"/>
        </w:rPr>
        <w:t xml:space="preserve"> </w:t>
      </w:r>
      <w:r w:rsidR="00900C01" w:rsidRPr="00331E8A">
        <w:rPr>
          <w:rFonts w:asciiTheme="minorHAnsi" w:hAnsiTheme="minorHAnsi" w:cstheme="minorHAnsi"/>
          <w:sz w:val="20"/>
        </w:rPr>
        <w:t>r</w:t>
      </w:r>
      <w:r w:rsidR="004116B2" w:rsidRPr="00331E8A">
        <w:rPr>
          <w:rFonts w:asciiTheme="minorHAnsi" w:hAnsiTheme="minorHAnsi" w:cstheme="minorHAnsi"/>
          <w:sz w:val="20"/>
        </w:rPr>
        <w:t>eplacement</w:t>
      </w:r>
      <w:r w:rsidR="008C3451">
        <w:rPr>
          <w:rFonts w:asciiTheme="minorHAnsi" w:hAnsiTheme="minorHAnsi" w:cstheme="minorHAnsi"/>
          <w:sz w:val="20"/>
        </w:rPr>
        <w:t>s</w:t>
      </w:r>
      <w:r w:rsidR="004116B2" w:rsidRPr="00331E8A">
        <w:rPr>
          <w:rFonts w:asciiTheme="minorHAnsi" w:hAnsiTheme="minorHAnsi" w:cstheme="minorHAnsi"/>
          <w:sz w:val="20"/>
        </w:rPr>
        <w:t xml:space="preserve"> </w:t>
      </w:r>
      <w:r w:rsidR="00900C01" w:rsidRPr="00331E8A">
        <w:rPr>
          <w:rFonts w:asciiTheme="minorHAnsi" w:hAnsiTheme="minorHAnsi" w:cstheme="minorHAnsi"/>
          <w:sz w:val="20"/>
        </w:rPr>
        <w:t>&amp; renovation</w:t>
      </w:r>
      <w:r w:rsidR="00231895">
        <w:rPr>
          <w:rFonts w:asciiTheme="minorHAnsi" w:hAnsiTheme="minorHAnsi" w:cstheme="minorHAnsi"/>
          <w:sz w:val="20"/>
        </w:rPr>
        <w:t xml:space="preserve"> costs</w:t>
      </w:r>
      <w:r w:rsidR="00900C01" w:rsidRPr="00331E8A">
        <w:rPr>
          <w:rFonts w:asciiTheme="minorHAnsi" w:hAnsiTheme="minorHAnsi" w:cstheme="minorHAnsi"/>
          <w:sz w:val="20"/>
        </w:rPr>
        <w:t xml:space="preserve"> </w:t>
      </w:r>
    </w:p>
    <w:p w:rsidR="00E80419" w:rsidRDefault="003509CB" w:rsidP="00F6044A">
      <w:pPr>
        <w:pStyle w:val="BodyTextIndent"/>
        <w:numPr>
          <w:ilvl w:val="0"/>
          <w:numId w:val="18"/>
        </w:numPr>
        <w:tabs>
          <w:tab w:val="clear" w:pos="720"/>
          <w:tab w:val="left" w:pos="-284"/>
          <w:tab w:val="num" w:pos="426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  <w:r w:rsidRPr="00331E8A">
        <w:rPr>
          <w:rFonts w:asciiTheme="minorHAnsi" w:hAnsiTheme="minorHAnsi" w:cstheme="minorHAnsi"/>
          <w:sz w:val="20"/>
        </w:rPr>
        <w:t>No</w:t>
      </w:r>
      <w:r w:rsidR="00900C01" w:rsidRPr="00331E8A">
        <w:rPr>
          <w:rFonts w:asciiTheme="minorHAnsi" w:hAnsiTheme="minorHAnsi" w:cstheme="minorHAnsi"/>
          <w:sz w:val="20"/>
        </w:rPr>
        <w:t xml:space="preserve"> </w:t>
      </w:r>
      <w:r w:rsidR="00E80419" w:rsidRPr="00331E8A">
        <w:rPr>
          <w:rFonts w:asciiTheme="minorHAnsi" w:hAnsiTheme="minorHAnsi" w:cstheme="minorHAnsi"/>
          <w:sz w:val="20"/>
        </w:rPr>
        <w:t xml:space="preserve">administration </w:t>
      </w:r>
      <w:r w:rsidR="00900C01" w:rsidRPr="00331E8A">
        <w:rPr>
          <w:rFonts w:asciiTheme="minorHAnsi" w:hAnsiTheme="minorHAnsi" w:cstheme="minorHAnsi"/>
          <w:sz w:val="20"/>
        </w:rPr>
        <w:t>responsibilities</w:t>
      </w:r>
      <w:r w:rsidR="0086580C" w:rsidRPr="00331E8A">
        <w:rPr>
          <w:rFonts w:asciiTheme="minorHAnsi" w:hAnsiTheme="minorHAnsi" w:cstheme="minorHAnsi"/>
          <w:sz w:val="20"/>
        </w:rPr>
        <w:br/>
      </w:r>
      <w:r w:rsidR="0086580C" w:rsidRPr="00331E8A">
        <w:rPr>
          <w:rFonts w:asciiTheme="minorHAnsi" w:hAnsiTheme="minorHAnsi" w:cstheme="minorHAnsi"/>
          <w:sz w:val="20"/>
        </w:rPr>
        <w:br/>
      </w:r>
    </w:p>
    <w:p w:rsidR="00AA4D14" w:rsidRPr="009F56EB" w:rsidRDefault="00AA4D14" w:rsidP="00AA4D14">
      <w:pPr>
        <w:pStyle w:val="Heading2"/>
        <w:ind w:left="-142"/>
        <w:rPr>
          <w:rFonts w:ascii="Arial Black" w:hAnsi="Arial Black" w:cstheme="minorHAnsi"/>
          <w:szCs w:val="24"/>
        </w:rPr>
      </w:pPr>
      <w:r w:rsidRPr="00175FC3">
        <w:rPr>
          <w:rFonts w:asciiTheme="minorHAnsi" w:hAnsiTheme="minorHAnsi" w:cstheme="minorHAnsi"/>
          <w:szCs w:val="24"/>
        </w:rPr>
        <w:t xml:space="preserve">  </w:t>
      </w:r>
      <w:r w:rsidR="00DA5796">
        <w:rPr>
          <w:rFonts w:ascii="Arial Black" w:hAnsi="Arial Black" w:cstheme="minorHAnsi"/>
          <w:szCs w:val="24"/>
        </w:rPr>
        <w:t>Tenants</w:t>
      </w:r>
      <w:r w:rsidRPr="009F56EB">
        <w:rPr>
          <w:rFonts w:ascii="Arial Black" w:hAnsi="Arial Black" w:cstheme="minorHAnsi"/>
          <w:szCs w:val="24"/>
        </w:rPr>
        <w:t>’ Responsibilities:</w:t>
      </w:r>
    </w:p>
    <w:p w:rsidR="00AA4D14" w:rsidRPr="00AA4D14" w:rsidRDefault="00AA4D14" w:rsidP="00AA4D14">
      <w:pPr>
        <w:pStyle w:val="BodyTextIndent"/>
        <w:numPr>
          <w:ilvl w:val="0"/>
          <w:numId w:val="17"/>
        </w:numPr>
        <w:tabs>
          <w:tab w:val="clear" w:pos="1429"/>
          <w:tab w:val="left" w:pos="-1276"/>
          <w:tab w:val="num" w:pos="284"/>
        </w:tabs>
        <w:spacing w:after="0"/>
        <w:ind w:left="0" w:right="-6" w:firstLine="0"/>
        <w:rPr>
          <w:rFonts w:asciiTheme="minorHAnsi" w:hAnsiTheme="minorHAnsi" w:cstheme="minorHAnsi"/>
          <w:b/>
          <w:sz w:val="20"/>
        </w:rPr>
      </w:pPr>
      <w:r w:rsidRPr="00AA4D14">
        <w:rPr>
          <w:rFonts w:asciiTheme="minorHAnsi" w:hAnsiTheme="minorHAnsi" w:cstheme="minorHAnsi"/>
          <w:b/>
          <w:sz w:val="20"/>
        </w:rPr>
        <w:t>Keep rental home clean, dry and tidy</w:t>
      </w:r>
    </w:p>
    <w:p w:rsidR="00AA4D14" w:rsidRPr="00AA4D14" w:rsidRDefault="00AA4D14" w:rsidP="00AA4D14">
      <w:pPr>
        <w:pStyle w:val="BodyTextIndent"/>
        <w:numPr>
          <w:ilvl w:val="0"/>
          <w:numId w:val="17"/>
        </w:numPr>
        <w:tabs>
          <w:tab w:val="clear" w:pos="1429"/>
          <w:tab w:val="left" w:pos="-1276"/>
          <w:tab w:val="num" w:pos="284"/>
        </w:tabs>
        <w:spacing w:after="0"/>
        <w:ind w:left="0" w:right="-6" w:firstLine="0"/>
        <w:rPr>
          <w:rFonts w:asciiTheme="minorHAnsi" w:hAnsiTheme="minorHAnsi" w:cstheme="minorHAnsi"/>
          <w:b/>
          <w:sz w:val="20"/>
        </w:rPr>
      </w:pPr>
      <w:r w:rsidRPr="00AA4D14">
        <w:rPr>
          <w:rFonts w:asciiTheme="minorHAnsi" w:hAnsiTheme="minorHAnsi" w:cstheme="minorHAnsi"/>
          <w:b/>
          <w:sz w:val="20"/>
        </w:rPr>
        <w:t>Pay rent as agreed</w:t>
      </w:r>
    </w:p>
    <w:p w:rsidR="00AA4D14" w:rsidRPr="00AA4D14" w:rsidRDefault="00AA4D14" w:rsidP="00AA4D14">
      <w:pPr>
        <w:pStyle w:val="BodyTextIndent"/>
        <w:numPr>
          <w:ilvl w:val="0"/>
          <w:numId w:val="17"/>
        </w:numPr>
        <w:tabs>
          <w:tab w:val="clear" w:pos="1429"/>
          <w:tab w:val="left" w:pos="-1276"/>
          <w:tab w:val="num" w:pos="284"/>
        </w:tabs>
        <w:spacing w:after="0"/>
        <w:ind w:left="0" w:right="-6" w:firstLine="0"/>
        <w:rPr>
          <w:rFonts w:asciiTheme="minorHAnsi" w:hAnsiTheme="minorHAnsi" w:cstheme="minorHAnsi"/>
          <w:b/>
          <w:sz w:val="20"/>
        </w:rPr>
      </w:pPr>
      <w:r w:rsidRPr="00AA4D14">
        <w:rPr>
          <w:rFonts w:asciiTheme="minorHAnsi" w:hAnsiTheme="minorHAnsi" w:cstheme="minorHAnsi"/>
          <w:b/>
          <w:sz w:val="20"/>
        </w:rPr>
        <w:t>Be great neighbours.</w:t>
      </w:r>
    </w:p>
    <w:p w:rsidR="00AA4D14" w:rsidRDefault="00AA4D14" w:rsidP="00AA4D14">
      <w:pPr>
        <w:pStyle w:val="BodyTextIndent"/>
        <w:tabs>
          <w:tab w:val="left" w:pos="-284"/>
        </w:tabs>
        <w:spacing w:after="20"/>
        <w:ind w:left="0" w:right="-147" w:firstLine="0"/>
        <w:rPr>
          <w:rFonts w:asciiTheme="minorHAnsi" w:hAnsiTheme="minorHAnsi" w:cstheme="minorHAnsi"/>
          <w:sz w:val="20"/>
        </w:rPr>
      </w:pPr>
    </w:p>
    <w:p w:rsidR="001B7A91" w:rsidRDefault="00862F04" w:rsidP="0055637F">
      <w:pPr>
        <w:ind w:left="-142" w:right="17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8E01A9">
        <w:rPr>
          <w:rFonts w:asciiTheme="minorHAnsi" w:hAnsiTheme="minorHAnsi" w:cstheme="minorHAnsi"/>
          <w:b/>
          <w:sz w:val="22"/>
          <w:szCs w:val="22"/>
        </w:rPr>
        <w:br/>
      </w:r>
    </w:p>
    <w:p w:rsidR="008264E2" w:rsidRDefault="00E1238F" w:rsidP="0055637F">
      <w:pPr>
        <w:ind w:left="-142" w:right="17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1B7A91" w:rsidRDefault="001B7A91" w:rsidP="0055637F">
      <w:pPr>
        <w:ind w:left="-142" w:right="17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637F" w:rsidRPr="001936D9" w:rsidRDefault="0055637F" w:rsidP="0055637F">
      <w:pPr>
        <w:ind w:left="-142" w:right="1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36D9">
        <w:rPr>
          <w:rFonts w:asciiTheme="minorHAnsi" w:hAnsiTheme="minorHAnsi" w:cstheme="minorHAnsi"/>
          <w:b/>
          <w:sz w:val="24"/>
          <w:szCs w:val="24"/>
        </w:rPr>
        <w:t>For more</w:t>
      </w:r>
      <w:r w:rsidR="008264E2">
        <w:rPr>
          <w:rFonts w:asciiTheme="minorHAnsi" w:hAnsiTheme="minorHAnsi" w:cstheme="minorHAnsi"/>
          <w:b/>
          <w:sz w:val="24"/>
          <w:szCs w:val="24"/>
        </w:rPr>
        <w:t>,</w:t>
      </w:r>
      <w:r w:rsidRPr="001936D9">
        <w:rPr>
          <w:rFonts w:asciiTheme="minorHAnsi" w:hAnsiTheme="minorHAnsi" w:cstheme="minorHAnsi"/>
          <w:b/>
          <w:sz w:val="24"/>
          <w:szCs w:val="24"/>
        </w:rPr>
        <w:t xml:space="preserve"> visit </w:t>
      </w:r>
      <w:hyperlink r:id="rId9" w:history="1">
        <w:r w:rsidRPr="001936D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www.tenancy.govt.nz</w:t>
        </w:r>
      </w:hyperlink>
      <w:r w:rsidRPr="001936D9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1113EF" w:rsidRPr="008B4B78" w:rsidRDefault="0055637F" w:rsidP="00E1238F">
      <w:pPr>
        <w:ind w:left="-142" w:right="176"/>
        <w:rPr>
          <w:rFonts w:asciiTheme="minorHAnsi" w:hAnsiTheme="minorHAnsi" w:cstheme="minorHAnsi"/>
          <w:b/>
          <w:bCs/>
          <w:sz w:val="6"/>
          <w:szCs w:val="6"/>
        </w:rPr>
      </w:pPr>
      <w:proofErr w:type="gramStart"/>
      <w:r w:rsidRPr="001936D9">
        <w:rPr>
          <w:rFonts w:asciiTheme="minorHAnsi" w:hAnsiTheme="minorHAnsi" w:cstheme="minorHAnsi"/>
          <w:b/>
          <w:sz w:val="24"/>
          <w:szCs w:val="24"/>
        </w:rPr>
        <w:t>or</w:t>
      </w:r>
      <w:proofErr w:type="gramEnd"/>
      <w:r w:rsidRPr="001936D9">
        <w:rPr>
          <w:rFonts w:asciiTheme="minorHAnsi" w:hAnsiTheme="minorHAnsi" w:cstheme="minorHAnsi"/>
          <w:b/>
          <w:sz w:val="24"/>
          <w:szCs w:val="24"/>
        </w:rPr>
        <w:t xml:space="preserve"> phone 0800 TENANCY (0800 836 262)</w:t>
      </w:r>
      <w:r w:rsidR="00391721" w:rsidRPr="009B3171">
        <w:rPr>
          <w:rFonts w:asciiTheme="minorHAnsi" w:hAnsiTheme="minorHAnsi" w:cstheme="minorHAnsi"/>
        </w:rPr>
        <w:br w:type="column"/>
      </w:r>
    </w:p>
    <w:p w:rsidR="001E6BCF" w:rsidRPr="00DA5796" w:rsidRDefault="00DA5796" w:rsidP="00AA6D2B">
      <w:pPr>
        <w:shd w:val="clear" w:color="auto" w:fill="948A54" w:themeFill="background2" w:themeFillShade="80"/>
        <w:ind w:left="0"/>
        <w:rPr>
          <w:rFonts w:ascii="Arial Black" w:hAnsi="Arial Black"/>
          <w:b/>
          <w:color w:val="FFFFFF" w:themeColor="background1"/>
          <w:sz w:val="56"/>
          <w:szCs w:val="56"/>
        </w:rPr>
      </w:pPr>
      <w:r>
        <w:rPr>
          <w:rFonts w:ascii="Arial Black" w:hAnsi="Arial Black"/>
          <w:b/>
          <w:color w:val="FFFFFF" w:themeColor="background1"/>
          <w:sz w:val="56"/>
          <w:szCs w:val="56"/>
        </w:rPr>
        <w:t xml:space="preserve"> </w:t>
      </w:r>
      <w:r w:rsidR="007729C7">
        <w:rPr>
          <w:rFonts w:ascii="Arial Black" w:hAnsi="Arial Black"/>
          <w:b/>
          <w:color w:val="FFFFFF" w:themeColor="background1"/>
          <w:sz w:val="56"/>
          <w:szCs w:val="56"/>
        </w:rPr>
        <w:t xml:space="preserve">  </w:t>
      </w:r>
      <w:r w:rsidR="001936D9">
        <w:rPr>
          <w:rFonts w:ascii="Arial Black" w:hAnsi="Arial Black"/>
          <w:b/>
          <w:color w:val="FFFFFF" w:themeColor="background1"/>
          <w:sz w:val="56"/>
          <w:szCs w:val="56"/>
        </w:rPr>
        <w:t xml:space="preserve"> </w:t>
      </w:r>
      <w:r w:rsidR="0039450C">
        <w:rPr>
          <w:rFonts w:ascii="Arial Black" w:hAnsi="Arial Black"/>
          <w:b/>
          <w:color w:val="FFFFFF" w:themeColor="background1"/>
          <w:sz w:val="56"/>
          <w:szCs w:val="56"/>
        </w:rPr>
        <w:t>Breaches</w:t>
      </w:r>
      <w:r w:rsidR="006F0EDB">
        <w:rPr>
          <w:rFonts w:ascii="Arial Black" w:hAnsi="Arial Black"/>
          <w:b/>
          <w:color w:val="FFFFFF" w:themeColor="background1"/>
          <w:sz w:val="56"/>
          <w:szCs w:val="56"/>
        </w:rPr>
        <w:t xml:space="preserve"> </w:t>
      </w:r>
    </w:p>
    <w:p w:rsidR="00E244FE" w:rsidRDefault="0039450C" w:rsidP="003270E1">
      <w:pPr>
        <w:pStyle w:val="Heading2"/>
        <w:spacing w:before="80"/>
        <w:ind w:left="284" w:right="4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Tenancy breaches </w:t>
      </w:r>
      <w:r w:rsidR="00135A5A">
        <w:rPr>
          <w:rFonts w:asciiTheme="minorHAnsi" w:hAnsiTheme="minorHAnsi" w:cstheme="minorHAnsi"/>
          <w:sz w:val="20"/>
        </w:rPr>
        <w:t>destroy</w:t>
      </w:r>
      <w:r w:rsidR="00E244FE">
        <w:rPr>
          <w:rFonts w:asciiTheme="minorHAnsi" w:hAnsiTheme="minorHAnsi" w:cstheme="minorHAnsi"/>
          <w:sz w:val="20"/>
        </w:rPr>
        <w:t xml:space="preserve"> trust and respect</w:t>
      </w:r>
    </w:p>
    <w:p w:rsidR="00212CFC" w:rsidRDefault="00212CFC" w:rsidP="003270E1">
      <w:pPr>
        <w:ind w:left="284"/>
      </w:pPr>
    </w:p>
    <w:p w:rsidR="001E6BCF" w:rsidRDefault="00195877" w:rsidP="0039450C">
      <w:pPr>
        <w:spacing w:after="0"/>
        <w:ind w:left="567" w:right="142" w:hanging="312"/>
        <w:rPr>
          <w:rFonts w:asciiTheme="minorHAnsi" w:hAnsiTheme="minorHAnsi" w:cstheme="minorHAnsi"/>
          <w:sz w:val="20"/>
        </w:rPr>
      </w:pPr>
      <w:r>
        <w:rPr>
          <w:b/>
          <w:sz w:val="24"/>
          <w:szCs w:val="24"/>
        </w:rPr>
        <w:t>Common breaches include failure to</w:t>
      </w:r>
      <w:r w:rsidR="00135A5A">
        <w:rPr>
          <w:b/>
          <w:sz w:val="24"/>
          <w:szCs w:val="24"/>
        </w:rPr>
        <w:t>:-</w:t>
      </w:r>
      <w:r>
        <w:rPr>
          <w:b/>
          <w:sz w:val="24"/>
          <w:szCs w:val="24"/>
        </w:rPr>
        <w:br/>
      </w:r>
      <w:proofErr w:type="gramStart"/>
      <w:r w:rsidRPr="00430D2E">
        <w:rPr>
          <w:sz w:val="20"/>
        </w:rPr>
        <w:t xml:space="preserve">•  </w:t>
      </w:r>
      <w:r>
        <w:rPr>
          <w:rFonts w:asciiTheme="minorHAnsi" w:hAnsiTheme="minorHAnsi" w:cstheme="minorHAnsi"/>
          <w:sz w:val="20"/>
        </w:rPr>
        <w:t>Pay</w:t>
      </w:r>
      <w:proofErr w:type="gramEnd"/>
      <w:r>
        <w:rPr>
          <w:rFonts w:asciiTheme="minorHAnsi" w:hAnsiTheme="minorHAnsi" w:cstheme="minorHAnsi"/>
          <w:sz w:val="20"/>
        </w:rPr>
        <w:t xml:space="preserve"> rent </w:t>
      </w:r>
      <w:r>
        <w:rPr>
          <w:rFonts w:asciiTheme="minorHAnsi" w:hAnsiTheme="minorHAnsi" w:cstheme="minorHAnsi"/>
          <w:sz w:val="20"/>
        </w:rPr>
        <w:br/>
      </w:r>
      <w:r w:rsidRPr="00430D2E">
        <w:rPr>
          <w:sz w:val="20"/>
        </w:rPr>
        <w:t xml:space="preserve">•  </w:t>
      </w:r>
      <w:r w:rsidR="00874ED5">
        <w:rPr>
          <w:sz w:val="20"/>
        </w:rPr>
        <w:t>Take adequate care o</w:t>
      </w:r>
      <w:r w:rsidR="00456F3F">
        <w:rPr>
          <w:sz w:val="20"/>
        </w:rPr>
        <w:t>f the property</w:t>
      </w:r>
      <w:r>
        <w:rPr>
          <w:sz w:val="20"/>
        </w:rPr>
        <w:br/>
      </w:r>
      <w:r w:rsidRPr="00430D2E">
        <w:rPr>
          <w:sz w:val="20"/>
        </w:rPr>
        <w:t xml:space="preserve">•  </w:t>
      </w:r>
      <w:r w:rsidR="00002A65">
        <w:rPr>
          <w:sz w:val="20"/>
        </w:rPr>
        <w:t xml:space="preserve">Maintain contented </w:t>
      </w:r>
      <w:r w:rsidR="00456F3F">
        <w:rPr>
          <w:sz w:val="20"/>
        </w:rPr>
        <w:t xml:space="preserve">neighbours’ </w:t>
      </w:r>
      <w:r w:rsidR="00002A65">
        <w:rPr>
          <w:sz w:val="20"/>
        </w:rPr>
        <w:br/>
      </w:r>
      <w:r w:rsidR="00456F3F" w:rsidRPr="00430D2E">
        <w:rPr>
          <w:sz w:val="20"/>
        </w:rPr>
        <w:t xml:space="preserve">•  </w:t>
      </w:r>
      <w:r w:rsidR="00002A65">
        <w:rPr>
          <w:sz w:val="20"/>
        </w:rPr>
        <w:t>Honour</w:t>
      </w:r>
      <w:r w:rsidR="007729C7">
        <w:rPr>
          <w:sz w:val="20"/>
        </w:rPr>
        <w:t xml:space="preserve"> other agreement</w:t>
      </w:r>
      <w:r w:rsidR="00456F3F">
        <w:rPr>
          <w:sz w:val="20"/>
        </w:rPr>
        <w:t xml:space="preserve"> clause</w:t>
      </w:r>
      <w:r w:rsidR="007729C7">
        <w:rPr>
          <w:sz w:val="20"/>
        </w:rPr>
        <w:t>s</w:t>
      </w:r>
      <w:r w:rsidR="00360C05">
        <w:rPr>
          <w:sz w:val="20"/>
        </w:rPr>
        <w:br/>
      </w:r>
    </w:p>
    <w:p w:rsidR="00195877" w:rsidRPr="00E65CA3" w:rsidRDefault="00195877" w:rsidP="0039450C">
      <w:pPr>
        <w:spacing w:after="0"/>
        <w:ind w:left="567" w:right="142" w:hanging="312"/>
        <w:rPr>
          <w:sz w:val="20"/>
        </w:rPr>
      </w:pPr>
    </w:p>
    <w:p w:rsidR="00C715EE" w:rsidRDefault="00360C05" w:rsidP="003270E1">
      <w:pPr>
        <w:pStyle w:val="ListParagraph"/>
        <w:tabs>
          <w:tab w:val="left" w:pos="284"/>
        </w:tabs>
        <w:ind w:left="567" w:right="4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Tribunals </w:t>
      </w:r>
      <w:r w:rsidR="00456F3F">
        <w:rPr>
          <w:b/>
          <w:sz w:val="24"/>
          <w:szCs w:val="24"/>
        </w:rPr>
        <w:t>evict tenants when</w:t>
      </w:r>
      <w:r w:rsidR="00135A5A">
        <w:rPr>
          <w:b/>
          <w:sz w:val="24"/>
          <w:szCs w:val="24"/>
        </w:rPr>
        <w:t>:-</w:t>
      </w:r>
    </w:p>
    <w:p w:rsidR="00C715EE" w:rsidRPr="00430D2E" w:rsidRDefault="00926F43" w:rsidP="00195877">
      <w:pPr>
        <w:tabs>
          <w:tab w:val="left" w:pos="284"/>
        </w:tabs>
        <w:spacing w:before="20" w:after="0"/>
        <w:ind w:left="567" w:right="45"/>
        <w:rPr>
          <w:rFonts w:asciiTheme="minorHAnsi" w:hAnsiTheme="minorHAnsi" w:cstheme="minorHAnsi"/>
          <w:sz w:val="20"/>
        </w:rPr>
      </w:pPr>
      <w:proofErr w:type="gramStart"/>
      <w:r w:rsidRPr="00430D2E">
        <w:rPr>
          <w:sz w:val="20"/>
        </w:rPr>
        <w:t xml:space="preserve">•  </w:t>
      </w:r>
      <w:r w:rsidR="00360C05">
        <w:rPr>
          <w:sz w:val="20"/>
        </w:rPr>
        <w:t>Breaches</w:t>
      </w:r>
      <w:proofErr w:type="gramEnd"/>
      <w:r w:rsidR="00360C05">
        <w:rPr>
          <w:sz w:val="20"/>
        </w:rPr>
        <w:t xml:space="preserve"> are not fixed </w:t>
      </w:r>
      <w:r w:rsidR="00195877">
        <w:rPr>
          <w:rFonts w:asciiTheme="minorHAnsi" w:hAnsiTheme="minorHAnsi" w:cstheme="minorHAnsi"/>
          <w:sz w:val="20"/>
        </w:rPr>
        <w:t>14 day</w:t>
      </w:r>
      <w:r w:rsidR="00456F3F">
        <w:rPr>
          <w:rFonts w:asciiTheme="minorHAnsi" w:hAnsiTheme="minorHAnsi" w:cstheme="minorHAnsi"/>
          <w:sz w:val="20"/>
        </w:rPr>
        <w:t xml:space="preserve">s </w:t>
      </w:r>
      <w:r w:rsidR="00002A65">
        <w:rPr>
          <w:rFonts w:asciiTheme="minorHAnsi" w:hAnsiTheme="minorHAnsi" w:cstheme="minorHAnsi"/>
          <w:sz w:val="20"/>
        </w:rPr>
        <w:t>of</w:t>
      </w:r>
      <w:r w:rsidR="00456F3F">
        <w:rPr>
          <w:rFonts w:asciiTheme="minorHAnsi" w:hAnsiTheme="minorHAnsi" w:cstheme="minorHAnsi"/>
          <w:sz w:val="20"/>
        </w:rPr>
        <w:t xml:space="preserve"> </w:t>
      </w:r>
      <w:r w:rsidR="00360C05">
        <w:rPr>
          <w:rFonts w:asciiTheme="minorHAnsi" w:hAnsiTheme="minorHAnsi" w:cstheme="minorHAnsi"/>
          <w:sz w:val="20"/>
        </w:rPr>
        <w:t>warning</w:t>
      </w:r>
      <w:r w:rsidR="00456F3F">
        <w:rPr>
          <w:rFonts w:asciiTheme="minorHAnsi" w:hAnsiTheme="minorHAnsi" w:cstheme="minorHAnsi"/>
          <w:sz w:val="20"/>
        </w:rPr>
        <w:t xml:space="preserve"> </w:t>
      </w:r>
      <w:r w:rsidR="00360C05">
        <w:rPr>
          <w:rFonts w:asciiTheme="minorHAnsi" w:hAnsiTheme="minorHAnsi" w:cstheme="minorHAnsi"/>
          <w:sz w:val="20"/>
        </w:rPr>
        <w:br/>
      </w:r>
      <w:r w:rsidR="00456F3F" w:rsidRPr="00430D2E">
        <w:rPr>
          <w:sz w:val="20"/>
        </w:rPr>
        <w:t xml:space="preserve">•  </w:t>
      </w:r>
      <w:r w:rsidR="00456F3F">
        <w:rPr>
          <w:sz w:val="20"/>
        </w:rPr>
        <w:t xml:space="preserve">Rent is </w:t>
      </w:r>
      <w:r w:rsidR="00002A65">
        <w:rPr>
          <w:sz w:val="20"/>
        </w:rPr>
        <w:t xml:space="preserve">over </w:t>
      </w:r>
      <w:r w:rsidR="00456F3F">
        <w:rPr>
          <w:sz w:val="20"/>
        </w:rPr>
        <w:t>3 weeks in arrears</w:t>
      </w:r>
      <w:r w:rsidR="00456F3F">
        <w:rPr>
          <w:sz w:val="20"/>
        </w:rPr>
        <w:br/>
      </w:r>
      <w:r w:rsidR="00456F3F" w:rsidRPr="00430D2E">
        <w:rPr>
          <w:sz w:val="20"/>
        </w:rPr>
        <w:t xml:space="preserve">•  </w:t>
      </w:r>
      <w:r w:rsidR="00456F3F">
        <w:rPr>
          <w:sz w:val="20"/>
        </w:rPr>
        <w:t>Three warning letters are sent within 90 days</w:t>
      </w:r>
      <w:r w:rsidR="00456F3F">
        <w:rPr>
          <w:sz w:val="20"/>
        </w:rPr>
        <w:br/>
      </w:r>
      <w:r w:rsidR="00456F3F" w:rsidRPr="00430D2E">
        <w:rPr>
          <w:sz w:val="20"/>
        </w:rPr>
        <w:t xml:space="preserve">•  </w:t>
      </w:r>
      <w:r w:rsidR="00456F3F">
        <w:rPr>
          <w:rFonts w:asciiTheme="minorHAnsi" w:hAnsiTheme="minorHAnsi" w:cstheme="minorHAnsi"/>
          <w:sz w:val="20"/>
        </w:rPr>
        <w:t xml:space="preserve"> </w:t>
      </w:r>
      <w:r w:rsidR="00360C05">
        <w:rPr>
          <w:rFonts w:asciiTheme="minorHAnsi" w:hAnsiTheme="minorHAnsi" w:cstheme="minorHAnsi"/>
          <w:sz w:val="20"/>
        </w:rPr>
        <w:t xml:space="preserve">Violence is threatened </w:t>
      </w:r>
      <w:r w:rsidR="00002A65">
        <w:rPr>
          <w:rFonts w:asciiTheme="minorHAnsi" w:hAnsiTheme="minorHAnsi" w:cstheme="minorHAnsi"/>
          <w:sz w:val="20"/>
        </w:rPr>
        <w:br/>
      </w:r>
      <w:r w:rsidR="00002A65" w:rsidRPr="00430D2E">
        <w:rPr>
          <w:sz w:val="20"/>
        </w:rPr>
        <w:t xml:space="preserve">•  </w:t>
      </w:r>
      <w:r w:rsidR="00002A65">
        <w:rPr>
          <w:rFonts w:asciiTheme="minorHAnsi" w:hAnsiTheme="minorHAnsi" w:cstheme="minorHAnsi"/>
          <w:sz w:val="20"/>
        </w:rPr>
        <w:t xml:space="preserve"> Remedy agreements are broken</w:t>
      </w:r>
      <w:r w:rsidR="00360C05">
        <w:rPr>
          <w:rFonts w:asciiTheme="minorHAnsi" w:hAnsiTheme="minorHAnsi" w:cstheme="minorHAnsi"/>
          <w:sz w:val="20"/>
        </w:rPr>
        <w:br/>
      </w:r>
      <w:r w:rsidR="00E65CA3" w:rsidRPr="00430D2E">
        <w:rPr>
          <w:rFonts w:asciiTheme="minorHAnsi" w:hAnsiTheme="minorHAnsi" w:cstheme="minorHAnsi"/>
          <w:sz w:val="20"/>
        </w:rPr>
        <w:t xml:space="preserve"> </w:t>
      </w:r>
    </w:p>
    <w:p w:rsidR="001E6BCF" w:rsidRDefault="001E6BCF" w:rsidP="003270E1">
      <w:pPr>
        <w:pStyle w:val="ListParagraph"/>
        <w:tabs>
          <w:tab w:val="left" w:pos="284"/>
        </w:tabs>
        <w:ind w:left="567" w:right="47" w:hanging="284"/>
        <w:rPr>
          <w:rFonts w:asciiTheme="minorHAnsi" w:hAnsiTheme="minorHAnsi" w:cstheme="minorHAnsi"/>
          <w:sz w:val="20"/>
        </w:rPr>
      </w:pPr>
    </w:p>
    <w:p w:rsidR="00E65CA3" w:rsidRDefault="00E65CA3" w:rsidP="003270E1">
      <w:pPr>
        <w:pStyle w:val="ListParagraph"/>
        <w:tabs>
          <w:tab w:val="left" w:pos="284"/>
        </w:tabs>
        <w:ind w:left="567" w:right="47" w:hanging="284"/>
        <w:rPr>
          <w:rFonts w:asciiTheme="minorHAnsi" w:hAnsiTheme="minorHAnsi" w:cstheme="minorHAnsi"/>
          <w:sz w:val="20"/>
        </w:rPr>
      </w:pPr>
    </w:p>
    <w:p w:rsidR="0088280F" w:rsidRPr="00430D2E" w:rsidRDefault="00360C05" w:rsidP="0088280F">
      <w:pPr>
        <w:ind w:left="567" w:right="47" w:hanging="283"/>
        <w:rPr>
          <w:sz w:val="20"/>
        </w:rPr>
      </w:pPr>
      <w:r>
        <w:rPr>
          <w:b/>
          <w:sz w:val="24"/>
          <w:szCs w:val="24"/>
        </w:rPr>
        <w:t>Consequences of evictions</w:t>
      </w:r>
      <w:r w:rsidR="00135A5A">
        <w:rPr>
          <w:b/>
          <w:sz w:val="24"/>
          <w:szCs w:val="24"/>
        </w:rPr>
        <w:t>:-</w:t>
      </w:r>
      <w:r>
        <w:rPr>
          <w:b/>
          <w:sz w:val="24"/>
          <w:szCs w:val="24"/>
        </w:rPr>
        <w:br/>
      </w:r>
      <w:proofErr w:type="gramStart"/>
      <w:r w:rsidR="0088280F" w:rsidRPr="00430D2E">
        <w:rPr>
          <w:sz w:val="20"/>
        </w:rPr>
        <w:t xml:space="preserve">•  </w:t>
      </w:r>
      <w:r w:rsidR="0088280F">
        <w:rPr>
          <w:sz w:val="20"/>
        </w:rPr>
        <w:t>Tribunal</w:t>
      </w:r>
      <w:proofErr w:type="gramEnd"/>
      <w:r w:rsidR="0088280F" w:rsidRPr="00430D2E">
        <w:rPr>
          <w:sz w:val="20"/>
        </w:rPr>
        <w:t xml:space="preserve"> </w:t>
      </w:r>
      <w:r w:rsidR="0088280F">
        <w:rPr>
          <w:sz w:val="20"/>
        </w:rPr>
        <w:t>records</w:t>
      </w:r>
      <w:r w:rsidR="0088280F" w:rsidRPr="00430D2E">
        <w:rPr>
          <w:sz w:val="20"/>
        </w:rPr>
        <w:t xml:space="preserve"> </w:t>
      </w:r>
      <w:r w:rsidR="0088280F">
        <w:rPr>
          <w:sz w:val="20"/>
        </w:rPr>
        <w:t xml:space="preserve">are </w:t>
      </w:r>
      <w:r w:rsidR="0088280F" w:rsidRPr="00430D2E">
        <w:rPr>
          <w:sz w:val="20"/>
        </w:rPr>
        <w:t>publicly available</w:t>
      </w:r>
      <w:r w:rsidR="0088280F">
        <w:rPr>
          <w:sz w:val="20"/>
        </w:rPr>
        <w:br/>
      </w:r>
      <w:r w:rsidR="0088280F" w:rsidRPr="00430D2E">
        <w:rPr>
          <w:sz w:val="20"/>
        </w:rPr>
        <w:t xml:space="preserve">•  </w:t>
      </w:r>
      <w:r w:rsidR="00D61738">
        <w:rPr>
          <w:sz w:val="20"/>
        </w:rPr>
        <w:t xml:space="preserve">Providers </w:t>
      </w:r>
      <w:r w:rsidR="00B32DFF">
        <w:rPr>
          <w:sz w:val="20"/>
        </w:rPr>
        <w:t>give bad references</w:t>
      </w:r>
      <w:r w:rsidR="0088280F">
        <w:rPr>
          <w:sz w:val="20"/>
        </w:rPr>
        <w:br/>
      </w:r>
      <w:r w:rsidR="0088280F" w:rsidRPr="00430D2E">
        <w:rPr>
          <w:sz w:val="20"/>
        </w:rPr>
        <w:t xml:space="preserve">•  </w:t>
      </w:r>
      <w:r w:rsidR="00D61738">
        <w:rPr>
          <w:sz w:val="20"/>
        </w:rPr>
        <w:t xml:space="preserve">Renters </w:t>
      </w:r>
      <w:r w:rsidR="0088280F" w:rsidRPr="00430D2E">
        <w:rPr>
          <w:sz w:val="20"/>
        </w:rPr>
        <w:t xml:space="preserve">become known as </w:t>
      </w:r>
      <w:r w:rsidR="00D61738">
        <w:rPr>
          <w:sz w:val="20"/>
        </w:rPr>
        <w:t>“</w:t>
      </w:r>
      <w:r w:rsidR="00B32DFF">
        <w:rPr>
          <w:sz w:val="20"/>
        </w:rPr>
        <w:t>undesirable</w:t>
      </w:r>
      <w:r w:rsidR="00D61738">
        <w:rPr>
          <w:sz w:val="20"/>
        </w:rPr>
        <w:t>”</w:t>
      </w:r>
      <w:r w:rsidR="0088280F">
        <w:rPr>
          <w:sz w:val="20"/>
        </w:rPr>
        <w:br/>
      </w:r>
      <w:r w:rsidR="0088280F" w:rsidRPr="00430D2E">
        <w:rPr>
          <w:sz w:val="20"/>
        </w:rPr>
        <w:t xml:space="preserve">•  </w:t>
      </w:r>
      <w:r w:rsidR="0088280F">
        <w:rPr>
          <w:sz w:val="20"/>
        </w:rPr>
        <w:t>Debtors loose</w:t>
      </w:r>
      <w:r w:rsidR="0088280F" w:rsidRPr="00430D2E">
        <w:rPr>
          <w:sz w:val="20"/>
        </w:rPr>
        <w:t xml:space="preserve"> access to accommodation </w:t>
      </w:r>
    </w:p>
    <w:p w:rsidR="001E6BCF" w:rsidRDefault="00AF56C8" w:rsidP="003270E1">
      <w:pPr>
        <w:ind w:left="567" w:right="47"/>
      </w:pPr>
      <w:r>
        <w:br/>
      </w:r>
    </w:p>
    <w:p w:rsidR="001E6BCF" w:rsidRDefault="001E6BCF" w:rsidP="001E6BCF">
      <w:pPr>
        <w:ind w:left="-142" w:right="47"/>
        <w:rPr>
          <w:rFonts w:asciiTheme="minorHAnsi" w:hAnsiTheme="minorHAnsi" w:cstheme="minorHAnsi"/>
          <w:sz w:val="20"/>
        </w:rPr>
      </w:pPr>
    </w:p>
    <w:p w:rsidR="0088280F" w:rsidRDefault="00F142AB" w:rsidP="005A3B11">
      <w:pPr>
        <w:pStyle w:val="Heading3"/>
      </w:pPr>
      <w:r>
        <w:t>Courts enforce d</w:t>
      </w:r>
      <w:r w:rsidR="0088280F">
        <w:t>ebt</w:t>
      </w:r>
      <w:r>
        <w:t>s</w:t>
      </w:r>
    </w:p>
    <w:p w:rsidR="0088280F" w:rsidRPr="00100BD7" w:rsidRDefault="00B35BCA" w:rsidP="00B179F1">
      <w:pPr>
        <w:ind w:left="567"/>
        <w:rPr>
          <w:sz w:val="20"/>
        </w:rPr>
      </w:pPr>
      <w:r>
        <w:rPr>
          <w:sz w:val="20"/>
        </w:rPr>
        <w:t>Courts order i</w:t>
      </w:r>
      <w:r w:rsidR="00F142AB">
        <w:rPr>
          <w:sz w:val="20"/>
        </w:rPr>
        <w:t>ncome prov</w:t>
      </w:r>
      <w:r>
        <w:rPr>
          <w:sz w:val="20"/>
        </w:rPr>
        <w:t xml:space="preserve">iders to </w:t>
      </w:r>
      <w:r w:rsidR="0088280F">
        <w:rPr>
          <w:sz w:val="20"/>
        </w:rPr>
        <w:t>deduct</w:t>
      </w:r>
      <w:r>
        <w:rPr>
          <w:sz w:val="20"/>
        </w:rPr>
        <w:t xml:space="preserve"> pa</w:t>
      </w:r>
      <w:r>
        <w:rPr>
          <w:sz w:val="20"/>
        </w:rPr>
        <w:t>y</w:t>
      </w:r>
      <w:r>
        <w:rPr>
          <w:sz w:val="20"/>
        </w:rPr>
        <w:t>ments</w:t>
      </w:r>
      <w:r w:rsidR="0088280F">
        <w:rPr>
          <w:sz w:val="20"/>
        </w:rPr>
        <w:t xml:space="preserve"> </w:t>
      </w:r>
      <w:r w:rsidR="0088280F" w:rsidRPr="00100BD7">
        <w:rPr>
          <w:sz w:val="20"/>
        </w:rPr>
        <w:t xml:space="preserve">or </w:t>
      </w:r>
      <w:r>
        <w:rPr>
          <w:sz w:val="20"/>
        </w:rPr>
        <w:t xml:space="preserve">they </w:t>
      </w:r>
      <w:r w:rsidR="007729C7">
        <w:rPr>
          <w:sz w:val="20"/>
        </w:rPr>
        <w:t xml:space="preserve">may </w:t>
      </w:r>
      <w:r w:rsidR="0088280F" w:rsidRPr="00100BD7">
        <w:rPr>
          <w:sz w:val="20"/>
        </w:rPr>
        <w:t>seiz</w:t>
      </w:r>
      <w:r>
        <w:rPr>
          <w:sz w:val="20"/>
        </w:rPr>
        <w:t>e</w:t>
      </w:r>
      <w:r w:rsidR="0088280F" w:rsidRPr="00100BD7">
        <w:rPr>
          <w:sz w:val="20"/>
        </w:rPr>
        <w:t xml:space="preserve"> </w:t>
      </w:r>
      <w:r w:rsidR="00D61738">
        <w:rPr>
          <w:sz w:val="20"/>
        </w:rPr>
        <w:t xml:space="preserve">and sell </w:t>
      </w:r>
      <w:r w:rsidR="0088280F" w:rsidRPr="00100BD7">
        <w:rPr>
          <w:sz w:val="20"/>
        </w:rPr>
        <w:t xml:space="preserve">goods. </w:t>
      </w:r>
      <w:r w:rsidR="0088280F">
        <w:rPr>
          <w:sz w:val="20"/>
        </w:rPr>
        <w:t xml:space="preserve"> </w:t>
      </w:r>
      <w:bookmarkStart w:id="0" w:name="_GoBack"/>
      <w:bookmarkEnd w:id="0"/>
    </w:p>
    <w:p w:rsidR="0088280F" w:rsidRPr="00100BD7" w:rsidRDefault="0088280F" w:rsidP="0088280F">
      <w:pPr>
        <w:rPr>
          <w:sz w:val="20"/>
        </w:rPr>
      </w:pPr>
    </w:p>
    <w:p w:rsidR="0088280F" w:rsidRPr="0088280F" w:rsidRDefault="0088280F" w:rsidP="0088280F"/>
    <w:p w:rsidR="006D5F12" w:rsidRDefault="006D5F12" w:rsidP="006D5F12"/>
    <w:p w:rsidR="00E1238F" w:rsidRDefault="00E1238F" w:rsidP="006D5F12"/>
    <w:p w:rsidR="00874ED5" w:rsidRDefault="00874ED5" w:rsidP="006D5F12"/>
    <w:p w:rsidR="007729C7" w:rsidRDefault="007729C7" w:rsidP="006D5F12"/>
    <w:p w:rsidR="00E1238F" w:rsidRPr="006D5F12" w:rsidRDefault="00E1238F" w:rsidP="006D5F12"/>
    <w:p w:rsidR="005D1FDF" w:rsidRPr="00A72C46" w:rsidRDefault="00135A5A" w:rsidP="00A064AC">
      <w:pPr>
        <w:ind w:left="142" w:right="-236"/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B179F1">
        <w:rPr>
          <w:rFonts w:asciiTheme="minorHAnsi" w:hAnsiTheme="minorHAnsi" w:cstheme="minorHAnsi"/>
          <w:b/>
          <w:sz w:val="24"/>
          <w:szCs w:val="24"/>
        </w:rPr>
        <w:t>No references &amp; bad records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               </w:t>
      </w:r>
      <w:r w:rsidR="00F142AB">
        <w:rPr>
          <w:rFonts w:asciiTheme="minorHAnsi" w:hAnsiTheme="minorHAnsi" w:cstheme="minorHAnsi"/>
          <w:b/>
          <w:sz w:val="24"/>
          <w:szCs w:val="24"/>
        </w:rPr>
        <w:t>result in homelessness</w:t>
      </w:r>
      <w:r w:rsidR="005D1FDF">
        <w:rPr>
          <w:rFonts w:asciiTheme="minorHAnsi" w:hAnsiTheme="minorHAnsi" w:cstheme="minorHAnsi"/>
          <w:sz w:val="20"/>
        </w:rPr>
        <w:br w:type="column"/>
      </w:r>
      <w:r w:rsidR="00DB5330" w:rsidRPr="00A72C46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DA33D4" w:rsidRPr="00A72C46">
        <w:rPr>
          <w:rFonts w:ascii="Arial Black" w:hAnsi="Arial Black" w:cstheme="minorHAnsi"/>
          <w:sz w:val="24"/>
          <w:szCs w:val="24"/>
        </w:rPr>
        <w:t>Protect</w:t>
      </w:r>
      <w:r w:rsidR="00E542CC" w:rsidRPr="00A72C46">
        <w:rPr>
          <w:rFonts w:ascii="Arial Black" w:hAnsi="Arial Black" w:cstheme="minorHAnsi"/>
          <w:sz w:val="24"/>
          <w:szCs w:val="24"/>
        </w:rPr>
        <w:t xml:space="preserve"> </w:t>
      </w:r>
      <w:r w:rsidR="00063809" w:rsidRPr="00A72C46">
        <w:rPr>
          <w:rFonts w:ascii="Arial Black" w:hAnsi="Arial Black" w:cstheme="minorHAnsi"/>
          <w:sz w:val="24"/>
          <w:szCs w:val="24"/>
        </w:rPr>
        <w:t>credit ratings</w:t>
      </w:r>
      <w:r w:rsidR="00DA33D4" w:rsidRPr="00A72C46">
        <w:rPr>
          <w:rFonts w:ascii="Arial Black" w:hAnsi="Arial Black" w:cstheme="minorHAnsi"/>
          <w:sz w:val="24"/>
          <w:szCs w:val="24"/>
        </w:rPr>
        <w:t xml:space="preserve"> and respect</w:t>
      </w:r>
    </w:p>
    <w:p w:rsidR="006F57C0" w:rsidRPr="006F57C0" w:rsidRDefault="006F57C0" w:rsidP="005D1FDF">
      <w:pPr>
        <w:ind w:left="-142" w:right="47"/>
        <w:rPr>
          <w:rFonts w:asciiTheme="minorHAnsi" w:hAnsiTheme="minorHAnsi" w:cstheme="minorHAnsi"/>
          <w:szCs w:val="18"/>
        </w:rPr>
      </w:pPr>
    </w:p>
    <w:p w:rsidR="00AC4282" w:rsidRPr="006E384C" w:rsidRDefault="00063809" w:rsidP="00EA1BE4">
      <w:pPr>
        <w:pStyle w:val="Heading3"/>
        <w:rPr>
          <w:i/>
          <w:sz w:val="20"/>
        </w:rPr>
      </w:pPr>
      <w:r w:rsidRPr="006E384C">
        <w:t>Talk to landlord</w:t>
      </w:r>
      <w:r w:rsidR="00E3075B" w:rsidRPr="006E384C">
        <w:t>s</w:t>
      </w:r>
      <w:r w:rsidR="00EA1BE4">
        <w:t xml:space="preserve"> if there are difficulties</w:t>
      </w:r>
    </w:p>
    <w:p w:rsidR="00665E05" w:rsidRPr="0064354D" w:rsidRDefault="00E3075B" w:rsidP="00EA1BE4">
      <w:pPr>
        <w:ind w:left="142" w:right="142"/>
        <w:rPr>
          <w:sz w:val="20"/>
        </w:rPr>
      </w:pPr>
      <w:r w:rsidRPr="0064354D">
        <w:rPr>
          <w:sz w:val="20"/>
        </w:rPr>
        <w:t xml:space="preserve">Most landlords </w:t>
      </w:r>
      <w:r w:rsidR="00DB5330" w:rsidRPr="0064354D">
        <w:rPr>
          <w:sz w:val="20"/>
        </w:rPr>
        <w:t xml:space="preserve">willingly </w:t>
      </w:r>
      <w:r w:rsidRPr="0064354D">
        <w:rPr>
          <w:sz w:val="20"/>
        </w:rPr>
        <w:t xml:space="preserve">accept a few dollars extra weekly </w:t>
      </w:r>
      <w:r w:rsidR="00DB5330" w:rsidRPr="0064354D">
        <w:rPr>
          <w:sz w:val="20"/>
        </w:rPr>
        <w:t xml:space="preserve">to repay </w:t>
      </w:r>
      <w:r w:rsidR="00EF0B5D">
        <w:rPr>
          <w:sz w:val="20"/>
        </w:rPr>
        <w:t>debts</w:t>
      </w:r>
      <w:r w:rsidR="005C1454" w:rsidRPr="0064354D">
        <w:rPr>
          <w:sz w:val="20"/>
        </w:rPr>
        <w:t>.</w:t>
      </w:r>
      <w:r w:rsidR="00DB5330" w:rsidRPr="0064354D">
        <w:rPr>
          <w:sz w:val="20"/>
        </w:rPr>
        <w:t xml:space="preserve"> </w:t>
      </w:r>
    </w:p>
    <w:p w:rsidR="00BB762A" w:rsidRDefault="00BB762A" w:rsidP="00EA1BE4">
      <w:pPr>
        <w:ind w:left="142" w:right="176"/>
        <w:rPr>
          <w:rFonts w:asciiTheme="minorHAnsi" w:hAnsiTheme="minorHAnsi" w:cstheme="minorHAnsi"/>
          <w:sz w:val="20"/>
        </w:rPr>
      </w:pPr>
    </w:p>
    <w:p w:rsidR="00EB56DC" w:rsidRDefault="00EB56DC" w:rsidP="00EA1BE4">
      <w:pPr>
        <w:ind w:left="142" w:right="176"/>
        <w:rPr>
          <w:rFonts w:asciiTheme="minorHAnsi" w:hAnsiTheme="minorHAnsi" w:cstheme="minorHAnsi"/>
          <w:sz w:val="20"/>
        </w:rPr>
      </w:pPr>
    </w:p>
    <w:p w:rsidR="00EB56DC" w:rsidRDefault="00EB56DC" w:rsidP="00EA1BE4">
      <w:pPr>
        <w:ind w:left="142" w:right="176"/>
        <w:rPr>
          <w:rFonts w:asciiTheme="minorHAnsi" w:hAnsiTheme="minorHAnsi" w:cstheme="minorHAnsi"/>
          <w:sz w:val="20"/>
        </w:rPr>
      </w:pPr>
    </w:p>
    <w:p w:rsidR="005C1454" w:rsidRDefault="00F9071F" w:rsidP="00EA1BE4">
      <w:pPr>
        <w:ind w:left="142" w:right="47"/>
        <w:rPr>
          <w:b/>
          <w:sz w:val="24"/>
          <w:szCs w:val="24"/>
        </w:rPr>
      </w:pPr>
      <w:r>
        <w:rPr>
          <w:b/>
          <w:sz w:val="24"/>
          <w:szCs w:val="24"/>
        </w:rPr>
        <w:t>Engage</w:t>
      </w:r>
      <w:r w:rsidR="005C1454" w:rsidRPr="0076401B">
        <w:rPr>
          <w:b/>
          <w:sz w:val="24"/>
          <w:szCs w:val="24"/>
        </w:rPr>
        <w:t xml:space="preserve"> budget advisors</w:t>
      </w:r>
    </w:p>
    <w:p w:rsidR="005C1454" w:rsidRPr="0064354D" w:rsidRDefault="005C1454" w:rsidP="00EA1BE4">
      <w:pPr>
        <w:ind w:left="142" w:right="47"/>
        <w:rPr>
          <w:b/>
          <w:sz w:val="20"/>
        </w:rPr>
      </w:pPr>
      <w:r w:rsidRPr="0064354D">
        <w:rPr>
          <w:sz w:val="20"/>
        </w:rPr>
        <w:t>These usually free services</w:t>
      </w:r>
      <w:r w:rsidR="00956E44" w:rsidRPr="0064354D">
        <w:rPr>
          <w:sz w:val="20"/>
        </w:rPr>
        <w:t xml:space="preserve"> </w:t>
      </w:r>
      <w:r w:rsidRPr="0064354D">
        <w:rPr>
          <w:sz w:val="20"/>
        </w:rPr>
        <w:t xml:space="preserve">help debtors plan budgets and </w:t>
      </w:r>
      <w:r w:rsidR="00F9071F">
        <w:rPr>
          <w:sz w:val="20"/>
        </w:rPr>
        <w:t>work with directly landlords to avoid evictions</w:t>
      </w:r>
      <w:r w:rsidRPr="0064354D">
        <w:rPr>
          <w:sz w:val="20"/>
        </w:rPr>
        <w:t>.</w:t>
      </w:r>
    </w:p>
    <w:p w:rsidR="005C1454" w:rsidRPr="0064354D" w:rsidRDefault="005C1454" w:rsidP="005C1454">
      <w:pPr>
        <w:ind w:left="284" w:right="176"/>
        <w:rPr>
          <w:rFonts w:asciiTheme="minorHAnsi" w:hAnsiTheme="minorHAnsi" w:cstheme="minorHAnsi"/>
          <w:sz w:val="20"/>
        </w:rPr>
      </w:pPr>
    </w:p>
    <w:p w:rsidR="00EB56DC" w:rsidRDefault="00EB56DC" w:rsidP="005C1454">
      <w:pPr>
        <w:ind w:left="284" w:right="176"/>
        <w:rPr>
          <w:rFonts w:asciiTheme="minorHAnsi" w:hAnsiTheme="minorHAnsi" w:cstheme="minorHAnsi"/>
          <w:sz w:val="20"/>
        </w:rPr>
      </w:pPr>
    </w:p>
    <w:p w:rsidR="00EB56DC" w:rsidRDefault="00EB56DC" w:rsidP="005C1454">
      <w:pPr>
        <w:ind w:left="284" w:right="176"/>
        <w:rPr>
          <w:rFonts w:asciiTheme="minorHAnsi" w:hAnsiTheme="minorHAnsi" w:cstheme="minorHAnsi"/>
          <w:sz w:val="20"/>
        </w:rPr>
      </w:pPr>
    </w:p>
    <w:p w:rsidR="006849A4" w:rsidRPr="003B4FFC" w:rsidRDefault="006849A4" w:rsidP="005A3B11">
      <w:pPr>
        <w:pStyle w:val="Heading3"/>
        <w:rPr>
          <w:i/>
          <w:sz w:val="20"/>
        </w:rPr>
      </w:pPr>
      <w:r>
        <w:t>Talk to MSD</w:t>
      </w:r>
    </w:p>
    <w:p w:rsidR="0076401B" w:rsidRPr="0064354D" w:rsidRDefault="006849A4" w:rsidP="00944894">
      <w:pPr>
        <w:ind w:right="142"/>
        <w:jc w:val="both"/>
        <w:rPr>
          <w:sz w:val="20"/>
        </w:rPr>
      </w:pPr>
      <w:r w:rsidRPr="0064354D">
        <w:rPr>
          <w:sz w:val="20"/>
        </w:rPr>
        <w:t xml:space="preserve">Ministry of Social Development </w:t>
      </w:r>
      <w:r w:rsidR="00956E44" w:rsidRPr="0064354D">
        <w:rPr>
          <w:sz w:val="20"/>
        </w:rPr>
        <w:t>often</w:t>
      </w:r>
      <w:r w:rsidRPr="0064354D">
        <w:rPr>
          <w:sz w:val="20"/>
        </w:rPr>
        <w:t xml:space="preserve"> help genuine people about to </w:t>
      </w:r>
      <w:r w:rsidR="00F9071F">
        <w:rPr>
          <w:sz w:val="20"/>
        </w:rPr>
        <w:t>be evicted</w:t>
      </w:r>
      <w:r w:rsidR="00956E44" w:rsidRPr="0064354D">
        <w:rPr>
          <w:sz w:val="20"/>
        </w:rPr>
        <w:t xml:space="preserve"> and </w:t>
      </w:r>
      <w:r w:rsidR="00F9071F">
        <w:rPr>
          <w:sz w:val="20"/>
        </w:rPr>
        <w:t xml:space="preserve">lose their </w:t>
      </w:r>
      <w:r w:rsidR="00956E44" w:rsidRPr="0064354D">
        <w:rPr>
          <w:sz w:val="20"/>
        </w:rPr>
        <w:t>reputations</w:t>
      </w:r>
      <w:r w:rsidR="00F9071F">
        <w:rPr>
          <w:sz w:val="20"/>
        </w:rPr>
        <w:t xml:space="preserve"> as good tenants</w:t>
      </w:r>
      <w:r w:rsidRPr="0064354D">
        <w:rPr>
          <w:sz w:val="20"/>
        </w:rPr>
        <w:t xml:space="preserve">. </w:t>
      </w:r>
      <w:r w:rsidR="0075577C" w:rsidRPr="0064354D">
        <w:rPr>
          <w:sz w:val="20"/>
        </w:rPr>
        <w:t xml:space="preserve"> </w:t>
      </w:r>
      <w:r w:rsidRPr="0064354D">
        <w:rPr>
          <w:sz w:val="20"/>
        </w:rPr>
        <w:t xml:space="preserve"> </w:t>
      </w:r>
    </w:p>
    <w:p w:rsidR="0076401B" w:rsidRPr="0064354D" w:rsidRDefault="0076401B" w:rsidP="0075577C">
      <w:pPr>
        <w:ind w:right="47"/>
        <w:rPr>
          <w:sz w:val="20"/>
        </w:rPr>
      </w:pPr>
    </w:p>
    <w:p w:rsidR="00A80A8D" w:rsidRPr="0064354D" w:rsidRDefault="00A80A8D" w:rsidP="0075577C">
      <w:pPr>
        <w:ind w:right="47"/>
        <w:rPr>
          <w:b/>
          <w:sz w:val="20"/>
        </w:rPr>
      </w:pPr>
    </w:p>
    <w:p w:rsidR="00EB56DC" w:rsidRPr="0064354D" w:rsidRDefault="00EB56DC" w:rsidP="0075577C">
      <w:pPr>
        <w:ind w:right="47"/>
        <w:rPr>
          <w:b/>
          <w:sz w:val="20"/>
        </w:rPr>
      </w:pPr>
    </w:p>
    <w:p w:rsidR="00381B20" w:rsidRPr="003B4FFC" w:rsidRDefault="00E3075B" w:rsidP="005A3B11">
      <w:pPr>
        <w:pStyle w:val="Heading3"/>
        <w:rPr>
          <w:i/>
          <w:sz w:val="20"/>
        </w:rPr>
      </w:pPr>
      <w:r>
        <w:t xml:space="preserve">Take </w:t>
      </w:r>
      <w:r w:rsidR="007C6CB0">
        <w:t>in</w:t>
      </w:r>
      <w:r>
        <w:t xml:space="preserve"> flatmate</w:t>
      </w:r>
      <w:r w:rsidR="007C6CB0">
        <w:t>s</w:t>
      </w:r>
      <w:r w:rsidR="006849A4">
        <w:t xml:space="preserve"> or </w:t>
      </w:r>
      <w:r>
        <w:t>boarder</w:t>
      </w:r>
      <w:r w:rsidR="007C6CB0">
        <w:t>s</w:t>
      </w:r>
    </w:p>
    <w:p w:rsidR="00381B20" w:rsidRPr="007A42E8" w:rsidRDefault="00677899" w:rsidP="00944894">
      <w:pPr>
        <w:ind w:right="142"/>
        <w:jc w:val="both"/>
        <w:rPr>
          <w:sz w:val="20"/>
        </w:rPr>
      </w:pPr>
      <w:r w:rsidRPr="007A42E8">
        <w:rPr>
          <w:sz w:val="20"/>
        </w:rPr>
        <w:t xml:space="preserve">Although not permitted </w:t>
      </w:r>
      <w:r w:rsidR="005D6A23" w:rsidRPr="007A42E8">
        <w:rPr>
          <w:sz w:val="20"/>
        </w:rPr>
        <w:t>by</w:t>
      </w:r>
      <w:r w:rsidRPr="007A42E8">
        <w:rPr>
          <w:sz w:val="20"/>
        </w:rPr>
        <w:t xml:space="preserve"> most agreements, </w:t>
      </w:r>
      <w:r w:rsidR="00F9071F" w:rsidRPr="007A42E8">
        <w:rPr>
          <w:sz w:val="20"/>
        </w:rPr>
        <w:t>provi</w:t>
      </w:r>
      <w:r w:rsidR="00F9071F" w:rsidRPr="007A42E8">
        <w:rPr>
          <w:sz w:val="20"/>
        </w:rPr>
        <w:t>d</w:t>
      </w:r>
      <w:r w:rsidR="00F9071F" w:rsidRPr="007A42E8">
        <w:rPr>
          <w:sz w:val="20"/>
        </w:rPr>
        <w:t>ers will generally consent</w:t>
      </w:r>
      <w:r w:rsidR="00AE18DD" w:rsidRPr="007A42E8">
        <w:rPr>
          <w:sz w:val="20"/>
        </w:rPr>
        <w:t>,</w:t>
      </w:r>
      <w:r w:rsidR="007A42E8" w:rsidRPr="007A42E8">
        <w:rPr>
          <w:sz w:val="20"/>
        </w:rPr>
        <w:t xml:space="preserve"> for reputable people and when space is available</w:t>
      </w:r>
      <w:r w:rsidR="00F9071F" w:rsidRPr="007A42E8">
        <w:rPr>
          <w:sz w:val="20"/>
        </w:rPr>
        <w:t xml:space="preserve">. </w:t>
      </w:r>
      <w:r w:rsidR="00E3075B" w:rsidRPr="007A42E8">
        <w:rPr>
          <w:sz w:val="20"/>
        </w:rPr>
        <w:t xml:space="preserve">  </w:t>
      </w:r>
      <w:r w:rsidR="001206BA" w:rsidRPr="007A42E8">
        <w:rPr>
          <w:sz w:val="20"/>
        </w:rPr>
        <w:t xml:space="preserve"> </w:t>
      </w:r>
    </w:p>
    <w:p w:rsidR="001206BA" w:rsidRDefault="001206BA" w:rsidP="005A07BF">
      <w:pPr>
        <w:ind w:left="-142" w:right="176"/>
        <w:jc w:val="both"/>
        <w:rPr>
          <w:rFonts w:asciiTheme="minorHAnsi" w:hAnsiTheme="minorHAnsi" w:cstheme="minorHAnsi"/>
          <w:i/>
          <w:sz w:val="20"/>
        </w:rPr>
      </w:pPr>
    </w:p>
    <w:p w:rsidR="00EB56DC" w:rsidRDefault="005A3B11" w:rsidP="005A07BF">
      <w:pPr>
        <w:ind w:left="-142" w:right="176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br/>
      </w:r>
    </w:p>
    <w:p w:rsidR="00A337A9" w:rsidRPr="003B4FFC" w:rsidRDefault="00926F43" w:rsidP="005A3B11">
      <w:pPr>
        <w:pStyle w:val="Heading3"/>
        <w:rPr>
          <w:i/>
          <w:sz w:val="20"/>
        </w:rPr>
      </w:pPr>
      <w:r>
        <w:t>Leav</w:t>
      </w:r>
      <w:r w:rsidR="00914F4A">
        <w:t xml:space="preserve">e </w:t>
      </w:r>
      <w:r w:rsidR="00F142AB">
        <w:t>the tenancy</w:t>
      </w:r>
    </w:p>
    <w:p w:rsidR="005A3B11" w:rsidRDefault="00A16A3F" w:rsidP="005006E5">
      <w:pPr>
        <w:ind w:left="142" w:right="142"/>
        <w:rPr>
          <w:sz w:val="20"/>
        </w:rPr>
      </w:pPr>
      <w:r w:rsidRPr="008112C6">
        <w:rPr>
          <w:sz w:val="20"/>
        </w:rPr>
        <w:t xml:space="preserve">Tenants simply give </w:t>
      </w:r>
      <w:r w:rsidR="00EF0B5D">
        <w:rPr>
          <w:sz w:val="20"/>
        </w:rPr>
        <w:t xml:space="preserve">28 </w:t>
      </w:r>
      <w:proofErr w:type="spellStart"/>
      <w:r w:rsidR="00F142AB">
        <w:rPr>
          <w:sz w:val="20"/>
        </w:rPr>
        <w:t>days</w:t>
      </w:r>
      <w:proofErr w:type="spellEnd"/>
      <w:r w:rsidR="00F142AB">
        <w:rPr>
          <w:sz w:val="20"/>
        </w:rPr>
        <w:t xml:space="preserve"> </w:t>
      </w:r>
      <w:r w:rsidR="00F142AB" w:rsidRPr="008112C6">
        <w:rPr>
          <w:sz w:val="20"/>
        </w:rPr>
        <w:t>written</w:t>
      </w:r>
      <w:r w:rsidR="006D5F12" w:rsidRPr="008112C6">
        <w:rPr>
          <w:sz w:val="20"/>
        </w:rPr>
        <w:t xml:space="preserve"> </w:t>
      </w:r>
      <w:r w:rsidRPr="008112C6">
        <w:rPr>
          <w:sz w:val="20"/>
        </w:rPr>
        <w:t>notice</w:t>
      </w:r>
      <w:r w:rsidR="00CE65D3" w:rsidRPr="008112C6">
        <w:rPr>
          <w:sz w:val="20"/>
        </w:rPr>
        <w:t xml:space="preserve">.  </w:t>
      </w:r>
      <w:r w:rsidR="005A3B11" w:rsidRPr="008112C6">
        <w:rPr>
          <w:sz w:val="20"/>
        </w:rPr>
        <w:t xml:space="preserve">Rent commitments can reduce when tenants </w:t>
      </w:r>
      <w:r w:rsidR="005A3B11">
        <w:rPr>
          <w:sz w:val="20"/>
        </w:rPr>
        <w:t>work with</w:t>
      </w:r>
      <w:r w:rsidR="005A3B11" w:rsidRPr="008112C6">
        <w:rPr>
          <w:sz w:val="20"/>
        </w:rPr>
        <w:t xml:space="preserve"> landlords </w:t>
      </w:r>
      <w:r w:rsidR="005A3B11">
        <w:rPr>
          <w:sz w:val="20"/>
        </w:rPr>
        <w:t xml:space="preserve">to </w:t>
      </w:r>
      <w:r w:rsidR="005A3B11" w:rsidRPr="008112C6">
        <w:rPr>
          <w:sz w:val="20"/>
        </w:rPr>
        <w:t>find suitable replacements early.</w:t>
      </w:r>
    </w:p>
    <w:p w:rsidR="005006E5" w:rsidRDefault="00F142AB" w:rsidP="005006E5">
      <w:pPr>
        <w:ind w:left="142" w:right="142"/>
        <w:rPr>
          <w:sz w:val="20"/>
        </w:rPr>
      </w:pPr>
      <w:r>
        <w:rPr>
          <w:sz w:val="20"/>
        </w:rPr>
        <w:t xml:space="preserve">Leaving without notification, substantially increases tenants’ costs and destroys their reputations. </w:t>
      </w:r>
      <w:r w:rsidRPr="008112C6">
        <w:rPr>
          <w:sz w:val="20"/>
        </w:rPr>
        <w:t xml:space="preserve"> </w:t>
      </w:r>
    </w:p>
    <w:p w:rsidR="00421174" w:rsidRDefault="005006E5" w:rsidP="005006E5">
      <w:pPr>
        <w:ind w:left="142" w:right="142"/>
        <w:rPr>
          <w:sz w:val="20"/>
        </w:rPr>
      </w:pPr>
      <w:r>
        <w:rPr>
          <w:sz w:val="20"/>
        </w:rPr>
        <w:br/>
      </w:r>
    </w:p>
    <w:p w:rsidR="00EF0B5D" w:rsidRDefault="00EF0B5D" w:rsidP="00E542CC">
      <w:pPr>
        <w:ind w:left="0" w:right="176"/>
        <w:rPr>
          <w:sz w:val="20"/>
        </w:rPr>
      </w:pPr>
    </w:p>
    <w:p w:rsidR="002533E0" w:rsidRPr="003270E1" w:rsidRDefault="00E1238F" w:rsidP="00E542CC">
      <w:pPr>
        <w:ind w:left="0" w:right="176"/>
        <w:rPr>
          <w:rFonts w:ascii="Arial Black" w:hAnsi="Arial Black" w:cstheme="minorHAnsi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7B77F2">
        <w:rPr>
          <w:b/>
          <w:sz w:val="24"/>
          <w:szCs w:val="24"/>
        </w:rPr>
        <w:t xml:space="preserve">Respect, honesty and reliability </w:t>
      </w:r>
      <w:r w:rsidR="00D94C15">
        <w:rPr>
          <w:b/>
          <w:sz w:val="24"/>
          <w:szCs w:val="24"/>
        </w:rPr>
        <w:t>lead to</w:t>
      </w:r>
      <w:r w:rsidR="007F6240">
        <w:rPr>
          <w:b/>
          <w:sz w:val="24"/>
          <w:szCs w:val="24"/>
        </w:rPr>
        <w:t xml:space="preserve"> great </w:t>
      </w:r>
      <w:r w:rsidR="007B77F2">
        <w:rPr>
          <w:b/>
          <w:sz w:val="24"/>
          <w:szCs w:val="24"/>
        </w:rPr>
        <w:t>references</w:t>
      </w:r>
      <w:r w:rsidR="00D94C15">
        <w:rPr>
          <w:b/>
          <w:sz w:val="24"/>
          <w:szCs w:val="24"/>
        </w:rPr>
        <w:t xml:space="preserve"> and better homes.</w:t>
      </w:r>
      <w:r w:rsidR="00BD23E3">
        <w:rPr>
          <w:rFonts w:asciiTheme="minorHAnsi" w:hAnsiTheme="minorHAnsi" w:cstheme="minorHAnsi"/>
          <w:b/>
          <w:sz w:val="24"/>
          <w:szCs w:val="24"/>
        </w:rPr>
        <w:br/>
      </w:r>
      <w:r w:rsidR="00E542CC">
        <w:rPr>
          <w:rFonts w:asciiTheme="minorHAnsi" w:hAnsiTheme="minorHAnsi" w:cstheme="minorHAnsi"/>
          <w:b/>
          <w:sz w:val="24"/>
          <w:szCs w:val="24"/>
        </w:rPr>
        <w:br w:type="column"/>
      </w:r>
      <w:r w:rsidR="00675BF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</w:t>
      </w:r>
      <w:r w:rsidR="00675BFF">
        <w:rPr>
          <w:rFonts w:ascii="Arial Black" w:hAnsi="Arial Black" w:cstheme="minorHAnsi"/>
          <w:b/>
          <w:sz w:val="24"/>
          <w:szCs w:val="24"/>
        </w:rPr>
        <w:t>Costs to provide rentals in</w:t>
      </w:r>
      <w:r w:rsidR="00670E42">
        <w:rPr>
          <w:rFonts w:ascii="Arial Black" w:hAnsi="Arial Black" w:cstheme="minorHAnsi"/>
          <w:b/>
          <w:sz w:val="24"/>
          <w:szCs w:val="24"/>
        </w:rPr>
        <w:t xml:space="preserve"> 2024</w:t>
      </w:r>
    </w:p>
    <w:p w:rsidR="005A7ABA" w:rsidRDefault="005A7ABA" w:rsidP="00DA0934">
      <w:pPr>
        <w:tabs>
          <w:tab w:val="left" w:pos="284"/>
        </w:tabs>
        <w:spacing w:before="80"/>
        <w:ind w:left="0" w:right="-261"/>
        <w:rPr>
          <w:rFonts w:asciiTheme="minorHAnsi" w:hAnsiTheme="minorHAnsi" w:cstheme="minorHAnsi"/>
        </w:rPr>
      </w:pPr>
    </w:p>
    <w:tbl>
      <w:tblPr>
        <w:tblW w:w="4385" w:type="dxa"/>
        <w:tblInd w:w="98" w:type="dxa"/>
        <w:tblLook w:val="04A0" w:firstRow="1" w:lastRow="0" w:firstColumn="1" w:lastColumn="0" w:noHBand="0" w:noVBand="1"/>
      </w:tblPr>
      <w:tblGrid>
        <w:gridCol w:w="2137"/>
        <w:gridCol w:w="902"/>
        <w:gridCol w:w="641"/>
        <w:gridCol w:w="775"/>
      </w:tblGrid>
      <w:tr w:rsidR="00F607F3" w:rsidRPr="00F607F3" w:rsidTr="00A574C4">
        <w:trPr>
          <w:trHeight w:val="600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07F3" w:rsidRDefault="00323320" w:rsidP="00742798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val="en-US"/>
              </w:rPr>
              <w:t xml:space="preserve">    </w:t>
            </w:r>
            <w:r w:rsidR="002B21E3">
              <w:rPr>
                <w:rFonts w:cs="Calibri"/>
                <w:b/>
                <w:bCs/>
                <w:color w:val="000000"/>
                <w:szCs w:val="18"/>
                <w:lang w:val="en-US"/>
              </w:rPr>
              <w:t>Example of w</w:t>
            </w:r>
            <w:r w:rsidR="00F607F3"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 xml:space="preserve">eekly payments needed to </w:t>
            </w:r>
            <w:r w:rsidR="00670E42">
              <w:rPr>
                <w:rFonts w:cs="Calibri"/>
                <w:b/>
                <w:bCs/>
                <w:color w:val="000000"/>
                <w:szCs w:val="18"/>
                <w:lang w:val="en-US"/>
              </w:rPr>
              <w:t>provide</w:t>
            </w:r>
            <w:r w:rsidR="00F607F3"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 xml:space="preserve"> a </w:t>
            </w:r>
            <w:r>
              <w:rPr>
                <w:rFonts w:cs="Calibri"/>
                <w:b/>
                <w:bCs/>
                <w:color w:val="000000"/>
                <w:szCs w:val="18"/>
                <w:lang w:val="en-US"/>
              </w:rPr>
              <w:br/>
              <w:t xml:space="preserve">            </w:t>
            </w:r>
            <w:r w:rsidR="00F607F3"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 xml:space="preserve">modest </w:t>
            </w:r>
            <w:r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>Timaru rental</w:t>
            </w:r>
            <w:r>
              <w:rPr>
                <w:rFonts w:cs="Calibri"/>
                <w:b/>
                <w:bCs/>
                <w:color w:val="000000"/>
                <w:szCs w:val="18"/>
                <w:lang w:val="en-US"/>
              </w:rPr>
              <w:t xml:space="preserve"> </w:t>
            </w:r>
            <w:r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 xml:space="preserve">3 </w:t>
            </w:r>
            <w:proofErr w:type="spellStart"/>
            <w:r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>br</w:t>
            </w:r>
            <w:proofErr w:type="spellEnd"/>
            <w:r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Cs w:val="18"/>
                <w:lang w:val="en-US"/>
              </w:rPr>
              <w:t>f</w:t>
            </w:r>
            <w:r w:rsidR="00670E42">
              <w:rPr>
                <w:rFonts w:cs="Calibri"/>
                <w:b/>
                <w:bCs/>
                <w:color w:val="000000"/>
                <w:szCs w:val="18"/>
                <w:lang w:val="en-US"/>
              </w:rPr>
              <w:t xml:space="preserve">lat or 2br </w:t>
            </w:r>
            <w:r>
              <w:rPr>
                <w:rFonts w:cs="Calibri"/>
                <w:b/>
                <w:bCs/>
                <w:color w:val="000000"/>
                <w:szCs w:val="18"/>
                <w:lang w:val="en-US"/>
              </w:rPr>
              <w:t>house</w:t>
            </w:r>
          </w:p>
          <w:p w:rsidR="00964B51" w:rsidRPr="00964B51" w:rsidRDefault="007B2C1A" w:rsidP="007B2C1A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           </w:t>
            </w:r>
            <w:r w:rsidR="00964B51"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="00964B51" w:rsidRPr="00964B51"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>C</w:t>
            </w:r>
            <w:r w:rsidR="00964B51" w:rsidRPr="00964B51"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>osts vary with location</w:t>
            </w:r>
            <w:r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>s</w:t>
            </w:r>
            <w:r w:rsidR="00964B51" w:rsidRPr="00964B51"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>valuations, size, interest,</w:t>
            </w:r>
            <w:r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br/>
              <w:t xml:space="preserve">                                    </w:t>
            </w:r>
            <w:r w:rsidR="00964B51" w:rsidRPr="00964B51"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>materials</w:t>
            </w:r>
            <w:r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and</w:t>
            </w:r>
            <w:r w:rsidR="00964B51" w:rsidRPr="00964B51"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 xml:space="preserve"> ma</w:t>
            </w:r>
            <w:r w:rsidR="00964B51" w:rsidRPr="00964B51"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>r</w:t>
            </w:r>
            <w:r w:rsidR="00964B51" w:rsidRPr="00964B51">
              <w:rPr>
                <w:rFonts w:cs="Calibri"/>
                <w:bCs/>
                <w:i/>
                <w:color w:val="000000"/>
                <w:sz w:val="16"/>
                <w:szCs w:val="16"/>
                <w:lang w:val="en-US"/>
              </w:rPr>
              <w:t>kets)</w:t>
            </w:r>
          </w:p>
        </w:tc>
      </w:tr>
      <w:tr w:rsidR="00F607F3" w:rsidRPr="00F607F3" w:rsidTr="00777039">
        <w:trPr>
          <w:trHeight w:val="22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670E42" w:rsidP="002C3ECF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>
              <w:rPr>
                <w:rFonts w:cs="Calibri"/>
                <w:color w:val="000000"/>
                <w:szCs w:val="18"/>
                <w:lang w:val="en-US"/>
              </w:rPr>
              <w:t>Unit</w:t>
            </w:r>
            <w:r w:rsidR="00F607F3" w:rsidRPr="00F607F3">
              <w:rPr>
                <w:rFonts w:cs="Calibri"/>
                <w:color w:val="000000"/>
                <w:szCs w:val="18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Cs w:val="18"/>
                <w:lang w:val="en-US"/>
              </w:rPr>
              <w:t xml:space="preserve">&amp; land </w:t>
            </w:r>
            <w:r w:rsidR="00F607F3" w:rsidRPr="00F607F3">
              <w:rPr>
                <w:rFonts w:cs="Calibri"/>
                <w:color w:val="000000"/>
                <w:szCs w:val="18"/>
                <w:lang w:val="en-US"/>
              </w:rPr>
              <w:t xml:space="preserve">value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055C34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b/>
                <w:b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>$</w:t>
            </w:r>
            <w:r w:rsidR="00055C34">
              <w:rPr>
                <w:rFonts w:cs="Calibri"/>
                <w:b/>
                <w:bCs/>
                <w:color w:val="000000"/>
                <w:szCs w:val="18"/>
                <w:lang w:val="en-US"/>
              </w:rPr>
              <w:t>400</w:t>
            </w:r>
            <w:r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>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F607F3">
              <w:rPr>
                <w:rFonts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607F3" w:rsidRPr="00F607F3" w:rsidTr="00777039">
        <w:trPr>
          <w:trHeight w:val="22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color w:val="000000"/>
                <w:szCs w:val="18"/>
                <w:lang w:val="en-US"/>
              </w:rPr>
              <w:t>Interest rate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055C34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val="en-US"/>
              </w:rPr>
              <w:t>7</w:t>
            </w:r>
            <w:r w:rsidR="00F607F3" w:rsidRPr="00F607F3">
              <w:rPr>
                <w:rFonts w:cs="Calibri"/>
                <w:b/>
                <w:bCs/>
                <w:color w:val="000000"/>
                <w:szCs w:val="18"/>
                <w:lang w:val="en-US"/>
              </w:rPr>
              <w:t>%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F607F3">
              <w:rPr>
                <w:rFonts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607F3" w:rsidRPr="00F607F3" w:rsidTr="00777039">
        <w:trPr>
          <w:trHeight w:val="225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 w:rsidRPr="00F607F3">
              <w:rPr>
                <w:rFonts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607F3" w:rsidRPr="00F607F3" w:rsidTr="00777039">
        <w:trPr>
          <w:trHeight w:val="510"/>
        </w:trPr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3351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607F3">
              <w:rPr>
                <w:rFonts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670E42" w:rsidP="00670E42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Item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br/>
              <w:t>Cost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07F3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Life   years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07F3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Cost    weekly   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670E42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</w:pPr>
            <w:r w:rsidRPr="00F607F3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>Interest</w:t>
            </w:r>
            <w:r w:rsidR="00055C34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 xml:space="preserve"> on </w:t>
            </w:r>
            <w:r w:rsidR="00670E42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>v</w:t>
            </w:r>
            <w:r w:rsidR="00055C34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>aluation</w:t>
            </w:r>
            <w:r w:rsidRPr="00F607F3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 xml:space="preserve"> 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F3" w:rsidRPr="00670E42" w:rsidRDefault="00055C34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>538</w:t>
            </w:r>
            <w:r w:rsidR="00F607F3" w:rsidRPr="00670E42">
              <w:rPr>
                <w:rFonts w:cs="Calibri"/>
                <w:color w:val="000000"/>
                <w:szCs w:val="18"/>
                <w:lang w:val="en-US"/>
              </w:rPr>
              <w:t xml:space="preserve">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</w:pPr>
            <w:r w:rsidRPr="00F607F3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>Rates &amp; insurance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670E42" w:rsidRDefault="00F607F3" w:rsidP="00055C34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>$3,</w:t>
            </w:r>
            <w:r w:rsidR="00055C34" w:rsidRPr="00670E42">
              <w:rPr>
                <w:rFonts w:cs="Calibri"/>
                <w:color w:val="000000"/>
                <w:szCs w:val="18"/>
                <w:lang w:val="en-US"/>
              </w:rPr>
              <w:t>0</w:t>
            </w:r>
            <w:r w:rsidRPr="00670E42">
              <w:rPr>
                <w:rFonts w:cs="Calibri"/>
                <w:color w:val="000000"/>
                <w:szCs w:val="18"/>
                <w:lang w:val="en-US"/>
              </w:rPr>
              <w:t>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F3" w:rsidRPr="00670E42" w:rsidRDefault="00055C34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>58</w:t>
            </w:r>
            <w:r w:rsidR="00F607F3" w:rsidRPr="00670E42">
              <w:rPr>
                <w:rFonts w:cs="Calibri"/>
                <w:color w:val="000000"/>
                <w:szCs w:val="18"/>
                <w:lang w:val="en-US"/>
              </w:rPr>
              <w:t xml:space="preserve">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C04968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>M</w:t>
            </w:r>
            <w:r w:rsidR="00F607F3" w:rsidRPr="00F607F3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>aintenance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>$1,550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 xml:space="preserve">30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</w:pPr>
            <w:r w:rsidRPr="00F607F3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>Administration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>$1,550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 xml:space="preserve">30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</w:pPr>
            <w:r w:rsidRPr="00F607F3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>Replacements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color w:val="000000"/>
                <w:szCs w:val="18"/>
                <w:lang w:val="en-US"/>
              </w:rPr>
              <w:t> 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Floor covers &amp; curtains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09680E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$1</w:t>
            </w:r>
            <w:r w:rsidR="0009680E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9</w:t>
            </w: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09680E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09680E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36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Appliances &amp; furniture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87797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</w:t>
            </w:r>
            <w:r w:rsidR="0087797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7</w:t>
            </w: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87797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15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Kitchen &amp; bathrooms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87797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</w:t>
            </w:r>
            <w:r w:rsidR="0087797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30</w:t>
            </w: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87797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43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Paint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7F3" w:rsidRPr="00670E42" w:rsidRDefault="00F607F3" w:rsidP="002515AD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$2</w:t>
            </w:r>
            <w:r w:rsidR="002515AD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8</w:t>
            </w: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2515AD" w:rsidP="002515A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2515AD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58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2C3ECF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Roof </w:t>
            </w:r>
            <w:r w:rsidR="002C3ECF">
              <w:rPr>
                <w:rFonts w:cs="Calibri"/>
                <w:i/>
                <w:iCs/>
                <w:color w:val="000000"/>
                <w:szCs w:val="18"/>
                <w:lang w:val="en-US"/>
              </w:rPr>
              <w:t>iron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627550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$3</w:t>
            </w:r>
            <w:r w:rsidR="00627550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</w:t>
            </w: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627550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43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Cladding &amp; windows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765225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</w:t>
            </w:r>
            <w:r w:rsidR="00765225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5</w:t>
            </w: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765225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5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765225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56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9D3335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Fences &amp; out-</w:t>
            </w:r>
            <w:r w:rsidR="00F607F3"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buildings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CF0152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</w:t>
            </w:r>
            <w:r w:rsidR="00CF0152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8</w:t>
            </w: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EF61FA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3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EF61FA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12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Vent fans &amp; heating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$5,000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EF61FA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1</w:t>
            </w:r>
            <w:r w:rsidR="00EF61FA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EF61FA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11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Insulation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062B5" w:rsidP="00F062B5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$3</w:t>
            </w:r>
            <w:r w:rsidR="00670E42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,</w:t>
            </w: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062B5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3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F062B5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5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Default="00F607F3" w:rsidP="009D3335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</w:t>
            </w:r>
            <w:r w:rsidR="009D3335">
              <w:rPr>
                <w:rFonts w:cs="Calibri"/>
                <w:i/>
                <w:iCs/>
                <w:color w:val="000000"/>
                <w:szCs w:val="18"/>
                <w:lang w:val="en-US"/>
              </w:rPr>
              <w:t>Wires</w:t>
            </w: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>, pipes &amp; drains</w:t>
            </w:r>
          </w:p>
          <w:p w:rsidR="00D365CE" w:rsidRPr="00F607F3" w:rsidRDefault="00670E42" w:rsidP="00670E42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</w:t>
            </w:r>
            <w:r w:rsidR="002D366C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Bad tenant damage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E42" w:rsidRPr="00670E42" w:rsidRDefault="00F607F3" w:rsidP="00670E42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$25,000</w:t>
            </w:r>
            <w:r w:rsidR="00670E42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br/>
              <w:t>$2,000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50</w:t>
            </w:r>
            <w:r w:rsidR="00670E42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br/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5CE" w:rsidRPr="00670E42" w:rsidRDefault="00F062B5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42</w:t>
            </w:r>
          </w:p>
          <w:p w:rsidR="00F607F3" w:rsidRPr="00670E42" w:rsidRDefault="00670E42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4</w:t>
            </w:r>
            <w:r w:rsidR="00F607F3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D365CE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  </w:t>
            </w:r>
            <w:r w:rsidR="00D365CE">
              <w:rPr>
                <w:rFonts w:cs="Calibri"/>
                <w:i/>
                <w:iCs/>
                <w:color w:val="000000"/>
                <w:szCs w:val="18"/>
                <w:lang w:val="en-US"/>
              </w:rPr>
              <w:t>Remaining</w:t>
            </w: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 building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D365CE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$2</w:t>
            </w:r>
            <w:r w:rsidR="00D365CE"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</w:t>
            </w: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670E42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 xml:space="preserve">243 </w:t>
            </w:r>
          </w:p>
        </w:tc>
      </w:tr>
      <w:tr w:rsidR="00F607F3" w:rsidRPr="00F607F3" w:rsidTr="00777039">
        <w:trPr>
          <w:trHeight w:val="255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305B3D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</w:pPr>
            <w:r w:rsidRPr="00F607F3">
              <w:rPr>
                <w:rFonts w:ascii="Arial" w:hAnsi="Arial" w:cs="Arial"/>
                <w:b/>
                <w:bCs/>
                <w:color w:val="000000"/>
                <w:szCs w:val="18"/>
                <w:lang w:val="en-US"/>
              </w:rPr>
              <w:t xml:space="preserve">Landlord </w:t>
            </w:r>
            <w:r w:rsidRPr="007770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Tax</w:t>
            </w:r>
            <w:r w:rsidR="00305B3D" w:rsidRPr="00305B3D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305B3D" w:rsidRPr="00777039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6"/>
                <w:lang w:val="en-US"/>
              </w:rPr>
              <w:t>(this year)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7F3" w:rsidRPr="00F607F3" w:rsidRDefault="00F607F3" w:rsidP="00670E42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i/>
                <w:iCs/>
                <w:color w:val="000000"/>
                <w:szCs w:val="18"/>
                <w:lang w:val="en-US"/>
              </w:rPr>
            </w:pPr>
            <w:r w:rsidRPr="00F607F3">
              <w:rPr>
                <w:rFonts w:cs="Calibri"/>
                <w:i/>
                <w:iCs/>
                <w:color w:val="000000"/>
                <w:szCs w:val="18"/>
                <w:lang w:val="en-US"/>
              </w:rPr>
              <w:t>15</w:t>
            </w:r>
            <w:r w:rsidR="00670E42">
              <w:rPr>
                <w:rFonts w:cs="Calibri"/>
                <w:i/>
                <w:iCs/>
                <w:color w:val="000000"/>
                <w:szCs w:val="18"/>
                <w:lang w:val="en-US"/>
              </w:rPr>
              <w:t>0</w:t>
            </w:r>
          </w:p>
        </w:tc>
      </w:tr>
      <w:tr w:rsidR="00F607F3" w:rsidRPr="00F607F3" w:rsidTr="00A574C4">
        <w:trPr>
          <w:trHeight w:val="255"/>
        </w:trPr>
        <w:tc>
          <w:tcPr>
            <w:tcW w:w="36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F607F3">
              <w:rPr>
                <w:rFonts w:cs="Calibri"/>
                <w:b/>
                <w:bCs/>
                <w:color w:val="000000"/>
                <w:sz w:val="20"/>
                <w:lang w:val="en-US"/>
              </w:rPr>
              <w:t xml:space="preserve"> Total costs </w:t>
            </w:r>
            <w:r w:rsidRPr="00F607F3">
              <w:rPr>
                <w:rFonts w:cs="Calibri"/>
                <w:color w:val="000000"/>
                <w:sz w:val="20"/>
                <w:lang w:val="en-US"/>
              </w:rPr>
              <w:t>pw</w:t>
            </w:r>
          </w:p>
        </w:tc>
        <w:tc>
          <w:tcPr>
            <w:tcW w:w="7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7F3" w:rsidRPr="00F607F3" w:rsidRDefault="00F607F3" w:rsidP="00670E42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  <w:r w:rsidRPr="00F607F3">
              <w:rPr>
                <w:rFonts w:cs="Calibri"/>
                <w:b/>
                <w:bCs/>
                <w:color w:val="000000"/>
                <w:sz w:val="20"/>
                <w:lang w:val="en-US"/>
              </w:rPr>
              <w:t>$1,</w:t>
            </w:r>
            <w:r w:rsidR="00670E42">
              <w:rPr>
                <w:rFonts w:cs="Calibri"/>
                <w:b/>
                <w:bCs/>
                <w:color w:val="000000"/>
                <w:sz w:val="20"/>
                <w:lang w:val="en-US"/>
              </w:rPr>
              <w:t>6</w:t>
            </w:r>
            <w:r w:rsidRPr="00F607F3">
              <w:rPr>
                <w:rFonts w:cs="Calibri"/>
                <w:b/>
                <w:bCs/>
                <w:color w:val="000000"/>
                <w:sz w:val="20"/>
                <w:lang w:val="en-US"/>
              </w:rPr>
              <w:t>1</w:t>
            </w:r>
            <w:r w:rsidR="00670E42">
              <w:rPr>
                <w:rFonts w:cs="Calibri"/>
                <w:b/>
                <w:bCs/>
                <w:color w:val="000000"/>
                <w:sz w:val="20"/>
                <w:lang w:val="en-US"/>
              </w:rPr>
              <w:t>8</w:t>
            </w:r>
          </w:p>
        </w:tc>
      </w:tr>
      <w:tr w:rsidR="00F607F3" w:rsidRPr="00F607F3" w:rsidTr="00A574C4">
        <w:trPr>
          <w:trHeight w:val="255"/>
        </w:trPr>
        <w:tc>
          <w:tcPr>
            <w:tcW w:w="3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07F3" w:rsidRPr="00F607F3" w:rsidRDefault="00F607F3" w:rsidP="00BF5059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7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7F3" w:rsidRPr="00F607F3" w:rsidRDefault="00F607F3" w:rsidP="00F607F3">
            <w:pPr>
              <w:overflowPunct/>
              <w:autoSpaceDE/>
              <w:autoSpaceDN/>
              <w:adjustRightInd/>
              <w:spacing w:after="0"/>
              <w:ind w:left="0"/>
              <w:jc w:val="right"/>
              <w:textAlignment w:val="auto"/>
              <w:rPr>
                <w:rFonts w:cs="Calibri"/>
                <w:b/>
                <w:bCs/>
                <w:color w:val="000000"/>
                <w:sz w:val="20"/>
                <w:lang w:val="en-US"/>
              </w:rPr>
            </w:pPr>
          </w:p>
        </w:tc>
      </w:tr>
    </w:tbl>
    <w:p w:rsidR="00A401F1" w:rsidRDefault="003423BE" w:rsidP="00DA0934">
      <w:pPr>
        <w:tabs>
          <w:tab w:val="left" w:pos="284"/>
        </w:tabs>
        <w:spacing w:before="80"/>
        <w:ind w:left="0" w:right="-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br/>
      </w:r>
      <w:r w:rsidR="00A41A93">
        <w:rPr>
          <w:rFonts w:asciiTheme="minorHAnsi" w:hAnsiTheme="minorHAnsi" w:cstheme="minorHAnsi"/>
          <w:sz w:val="20"/>
        </w:rPr>
        <w:t>See</w:t>
      </w:r>
      <w:r>
        <w:rPr>
          <w:rFonts w:asciiTheme="minorHAnsi" w:hAnsiTheme="minorHAnsi" w:cstheme="minorHAnsi"/>
          <w:sz w:val="20"/>
        </w:rPr>
        <w:t xml:space="preserve"> </w:t>
      </w:r>
      <w:hyperlink r:id="rId10" w:history="1">
        <w:r w:rsidRPr="00A41A9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www.rentagain.nz</w:t>
        </w:r>
      </w:hyperlink>
      <w:r w:rsidRPr="00A41A9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Pr="003423BE">
        <w:rPr>
          <w:rFonts w:asciiTheme="minorHAnsi" w:hAnsiTheme="minorHAnsi" w:cstheme="minorHAnsi"/>
          <w:sz w:val="20"/>
        </w:rPr>
        <w:t>for more information on costs, calculations and ideas to help make renting sustain</w:t>
      </w:r>
      <w:r w:rsidRPr="003423BE">
        <w:rPr>
          <w:rFonts w:asciiTheme="minorHAnsi" w:hAnsiTheme="minorHAnsi" w:cstheme="minorHAnsi"/>
          <w:sz w:val="20"/>
        </w:rPr>
        <w:t>a</w:t>
      </w:r>
      <w:r w:rsidRPr="003423BE">
        <w:rPr>
          <w:rFonts w:asciiTheme="minorHAnsi" w:hAnsiTheme="minorHAnsi" w:cstheme="minorHAnsi"/>
          <w:sz w:val="20"/>
        </w:rPr>
        <w:t>ble</w:t>
      </w:r>
      <w:r>
        <w:rPr>
          <w:rFonts w:asciiTheme="minorHAnsi" w:hAnsiTheme="minorHAnsi" w:cstheme="minorHAnsi"/>
        </w:rPr>
        <w:t>.</w:t>
      </w:r>
    </w:p>
    <w:p w:rsidR="00FC6EC2" w:rsidRDefault="00FC6EC2" w:rsidP="00FC6EC2">
      <w:pPr>
        <w:tabs>
          <w:tab w:val="left" w:pos="284"/>
        </w:tabs>
        <w:spacing w:before="80"/>
        <w:ind w:left="0" w:right="-261"/>
        <w:rPr>
          <w:b/>
          <w:sz w:val="20"/>
        </w:rPr>
      </w:pPr>
    </w:p>
    <w:p w:rsidR="00FC6EC2" w:rsidRDefault="00FC6EC2" w:rsidP="00FC6EC2">
      <w:pPr>
        <w:tabs>
          <w:tab w:val="left" w:pos="284"/>
        </w:tabs>
        <w:spacing w:before="80"/>
        <w:ind w:left="0" w:right="-261"/>
        <w:rPr>
          <w:b/>
          <w:sz w:val="20"/>
        </w:rPr>
      </w:pPr>
    </w:p>
    <w:p w:rsidR="00FC6EC2" w:rsidRDefault="00FC6EC2" w:rsidP="00FC6EC2">
      <w:pPr>
        <w:tabs>
          <w:tab w:val="left" w:pos="284"/>
        </w:tabs>
        <w:spacing w:before="80"/>
        <w:ind w:left="0" w:right="-261"/>
        <w:rPr>
          <w:b/>
          <w:sz w:val="20"/>
        </w:rPr>
      </w:pPr>
    </w:p>
    <w:p w:rsidR="00FC6EC2" w:rsidRDefault="00FC6EC2" w:rsidP="00FC6EC2">
      <w:pPr>
        <w:tabs>
          <w:tab w:val="left" w:pos="284"/>
        </w:tabs>
        <w:spacing w:before="80"/>
        <w:ind w:left="0" w:right="-261"/>
        <w:rPr>
          <w:b/>
          <w:sz w:val="20"/>
        </w:rPr>
      </w:pPr>
    </w:p>
    <w:p w:rsidR="00FC6EC2" w:rsidRDefault="00FC6EC2" w:rsidP="00FC6EC2">
      <w:pPr>
        <w:tabs>
          <w:tab w:val="left" w:pos="284"/>
        </w:tabs>
        <w:spacing w:before="80"/>
        <w:ind w:left="0" w:right="-261"/>
        <w:rPr>
          <w:b/>
          <w:sz w:val="20"/>
        </w:rPr>
      </w:pPr>
    </w:p>
    <w:p w:rsidR="00742798" w:rsidRDefault="00004765" w:rsidP="00FC6EC2">
      <w:pPr>
        <w:tabs>
          <w:tab w:val="left" w:pos="284"/>
        </w:tabs>
        <w:spacing w:before="80"/>
        <w:ind w:left="0" w:right="-261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F0B5D">
        <w:rPr>
          <w:b/>
          <w:sz w:val="24"/>
          <w:szCs w:val="24"/>
        </w:rPr>
        <w:t>Breaches cause extra work and cost</w:t>
      </w:r>
      <w:r w:rsidR="00EF0B5D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 </w:t>
      </w:r>
      <w:r w:rsidR="005E6570">
        <w:rPr>
          <w:b/>
          <w:sz w:val="24"/>
          <w:szCs w:val="24"/>
        </w:rPr>
        <w:t>t</w:t>
      </w:r>
      <w:r w:rsidR="007C3F74">
        <w:rPr>
          <w:b/>
          <w:sz w:val="24"/>
          <w:szCs w:val="24"/>
        </w:rPr>
        <w:t>hey</w:t>
      </w:r>
      <w:r w:rsidR="00EF0B5D">
        <w:rPr>
          <w:b/>
          <w:sz w:val="24"/>
          <w:szCs w:val="24"/>
        </w:rPr>
        <w:t xml:space="preserve"> destroy trust and respect</w:t>
      </w:r>
      <w:r w:rsidR="00150E16" w:rsidRPr="00FC6EC2">
        <w:rPr>
          <w:sz w:val="24"/>
          <w:szCs w:val="24"/>
        </w:rPr>
        <w:t>.</w:t>
      </w:r>
    </w:p>
    <w:p w:rsidR="00F607F3" w:rsidRPr="00742798" w:rsidRDefault="00742798" w:rsidP="00742798">
      <w:pPr>
        <w:tabs>
          <w:tab w:val="left" w:pos="284"/>
        </w:tabs>
        <w:spacing w:after="0"/>
        <w:ind w:left="0" w:right="-261"/>
        <w:rPr>
          <w:rFonts w:asciiTheme="minorHAnsi" w:hAnsiTheme="minorHAnsi" w:cstheme="minorHAnsi"/>
          <w:b/>
          <w:sz w:val="6"/>
          <w:szCs w:val="6"/>
        </w:rPr>
      </w:pPr>
      <w:r>
        <w:rPr>
          <w:sz w:val="24"/>
          <w:szCs w:val="24"/>
        </w:rPr>
        <w:br w:type="column"/>
      </w:r>
    </w:p>
    <w:p w:rsidR="007947A0" w:rsidRPr="002E4EEE" w:rsidRDefault="00663F92" w:rsidP="00742798">
      <w:pPr>
        <w:tabs>
          <w:tab w:val="left" w:pos="284"/>
        </w:tabs>
        <w:ind w:left="0" w:right="2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 Black" w:hAnsi="Arial Black" w:cstheme="minorHAnsi"/>
          <w:b/>
          <w:sz w:val="24"/>
          <w:szCs w:val="24"/>
        </w:rPr>
        <w:t xml:space="preserve">More </w:t>
      </w:r>
    </w:p>
    <w:p w:rsidR="00A80A8D" w:rsidRDefault="00A80A8D" w:rsidP="005A3B11">
      <w:pPr>
        <w:pStyle w:val="Heading3"/>
      </w:pPr>
    </w:p>
    <w:p w:rsidR="004C7D7E" w:rsidRPr="00AE1569" w:rsidRDefault="004C7D7E" w:rsidP="004C7D7E">
      <w:pPr>
        <w:ind w:right="-94"/>
        <w:rPr>
          <w:b/>
          <w:sz w:val="24"/>
          <w:szCs w:val="24"/>
        </w:rPr>
      </w:pPr>
      <w:r w:rsidRPr="00AE1569">
        <w:rPr>
          <w:b/>
          <w:sz w:val="24"/>
          <w:szCs w:val="24"/>
        </w:rPr>
        <w:t>It is illegal to withhold rent payments</w:t>
      </w:r>
    </w:p>
    <w:p w:rsidR="00CE3D90" w:rsidRPr="00D22E0E" w:rsidRDefault="005D011E" w:rsidP="001736C1">
      <w:pPr>
        <w:ind w:right="-94"/>
        <w:rPr>
          <w:rFonts w:asciiTheme="minorHAnsi" w:hAnsiTheme="minorHAnsi" w:cstheme="minorHAnsi"/>
          <w:sz w:val="20"/>
        </w:rPr>
      </w:pPr>
      <w:r w:rsidRPr="00D22E0E">
        <w:rPr>
          <w:rFonts w:asciiTheme="minorHAnsi" w:hAnsiTheme="minorHAnsi" w:cstheme="minorHAnsi"/>
          <w:sz w:val="20"/>
        </w:rPr>
        <w:t xml:space="preserve">If </w:t>
      </w:r>
      <w:r w:rsidR="00796254" w:rsidRPr="00D22E0E">
        <w:rPr>
          <w:rFonts w:asciiTheme="minorHAnsi" w:hAnsiTheme="minorHAnsi" w:cstheme="minorHAnsi"/>
          <w:sz w:val="20"/>
        </w:rPr>
        <w:t>renters have problem</w:t>
      </w:r>
      <w:r w:rsidR="00AD2107" w:rsidRPr="00D22E0E">
        <w:rPr>
          <w:rFonts w:asciiTheme="minorHAnsi" w:hAnsiTheme="minorHAnsi" w:cstheme="minorHAnsi"/>
          <w:sz w:val="20"/>
        </w:rPr>
        <w:t>s</w:t>
      </w:r>
      <w:r w:rsidR="00796254" w:rsidRPr="00D22E0E">
        <w:rPr>
          <w:rFonts w:asciiTheme="minorHAnsi" w:hAnsiTheme="minorHAnsi" w:cstheme="minorHAnsi"/>
          <w:sz w:val="20"/>
        </w:rPr>
        <w:t xml:space="preserve"> they </w:t>
      </w:r>
      <w:r w:rsidR="00AE1569" w:rsidRPr="00D22E0E">
        <w:rPr>
          <w:rFonts w:asciiTheme="minorHAnsi" w:hAnsiTheme="minorHAnsi" w:cstheme="minorHAnsi"/>
          <w:sz w:val="20"/>
        </w:rPr>
        <w:t>can</w:t>
      </w:r>
      <w:r w:rsidR="00EB5811" w:rsidRPr="00D22E0E">
        <w:rPr>
          <w:rFonts w:asciiTheme="minorHAnsi" w:hAnsiTheme="minorHAnsi" w:cstheme="minorHAnsi"/>
          <w:sz w:val="20"/>
        </w:rPr>
        <w:t>:-</w:t>
      </w:r>
      <w:r w:rsidR="00CE3D90" w:rsidRPr="00D22E0E">
        <w:rPr>
          <w:rFonts w:asciiTheme="minorHAnsi" w:hAnsiTheme="minorHAnsi" w:cstheme="minorHAnsi"/>
          <w:sz w:val="20"/>
        </w:rPr>
        <w:t xml:space="preserve"> </w:t>
      </w:r>
    </w:p>
    <w:p w:rsidR="00CE3D90" w:rsidRPr="009249FE" w:rsidRDefault="00EB5811" w:rsidP="001736C1">
      <w:pPr>
        <w:ind w:right="-94"/>
        <w:rPr>
          <w:rFonts w:asciiTheme="minorHAnsi" w:hAnsiTheme="minorHAnsi" w:cstheme="minorHAnsi"/>
          <w:sz w:val="20"/>
        </w:rPr>
      </w:pPr>
      <w:proofErr w:type="gramStart"/>
      <w:r w:rsidRPr="009249FE">
        <w:rPr>
          <w:sz w:val="20"/>
        </w:rPr>
        <w:t xml:space="preserve">•  </w:t>
      </w:r>
      <w:r w:rsidR="00CE3D90" w:rsidRPr="009249FE">
        <w:rPr>
          <w:rFonts w:asciiTheme="minorHAnsi" w:hAnsiTheme="minorHAnsi" w:cstheme="minorHAnsi"/>
          <w:sz w:val="20"/>
        </w:rPr>
        <w:t>Seek</w:t>
      </w:r>
      <w:proofErr w:type="gramEnd"/>
      <w:r w:rsidR="00CE3D90" w:rsidRPr="009249FE">
        <w:rPr>
          <w:rFonts w:asciiTheme="minorHAnsi" w:hAnsiTheme="minorHAnsi" w:cstheme="minorHAnsi"/>
          <w:sz w:val="20"/>
        </w:rPr>
        <w:t xml:space="preserve"> </w:t>
      </w:r>
      <w:r w:rsidR="0036221E" w:rsidRPr="009249FE">
        <w:rPr>
          <w:rFonts w:asciiTheme="minorHAnsi" w:hAnsiTheme="minorHAnsi" w:cstheme="minorHAnsi"/>
          <w:sz w:val="20"/>
        </w:rPr>
        <w:t xml:space="preserve">information and advice from </w:t>
      </w:r>
      <w:r w:rsidR="005D011E" w:rsidRPr="009249FE">
        <w:rPr>
          <w:rFonts w:asciiTheme="minorHAnsi" w:hAnsiTheme="minorHAnsi" w:cstheme="minorHAnsi"/>
          <w:sz w:val="20"/>
        </w:rPr>
        <w:t>Tenancy Services</w:t>
      </w:r>
    </w:p>
    <w:p w:rsidR="00CE3D90" w:rsidRPr="009249FE" w:rsidRDefault="00EB5811" w:rsidP="001736C1">
      <w:pPr>
        <w:ind w:right="-94"/>
        <w:rPr>
          <w:rFonts w:asciiTheme="minorHAnsi" w:hAnsiTheme="minorHAnsi" w:cstheme="minorHAnsi"/>
          <w:sz w:val="20"/>
        </w:rPr>
      </w:pPr>
      <w:proofErr w:type="gramStart"/>
      <w:r w:rsidRPr="009249FE">
        <w:rPr>
          <w:sz w:val="20"/>
        </w:rPr>
        <w:t xml:space="preserve">•  </w:t>
      </w:r>
      <w:r w:rsidR="00CE3D90" w:rsidRPr="009249FE">
        <w:rPr>
          <w:rFonts w:asciiTheme="minorHAnsi" w:hAnsiTheme="minorHAnsi" w:cstheme="minorHAnsi"/>
          <w:sz w:val="20"/>
        </w:rPr>
        <w:t>Issue</w:t>
      </w:r>
      <w:proofErr w:type="gramEnd"/>
      <w:r w:rsidR="00CE3D90" w:rsidRPr="009249FE">
        <w:rPr>
          <w:rFonts w:asciiTheme="minorHAnsi" w:hAnsiTheme="minorHAnsi" w:cstheme="minorHAnsi"/>
          <w:sz w:val="20"/>
        </w:rPr>
        <w:t xml:space="preserve"> notice </w:t>
      </w:r>
      <w:r w:rsidR="00CE39B2">
        <w:rPr>
          <w:rFonts w:asciiTheme="minorHAnsi" w:hAnsiTheme="minorHAnsi" w:cstheme="minorHAnsi"/>
          <w:sz w:val="20"/>
        </w:rPr>
        <w:t>to</w:t>
      </w:r>
      <w:r w:rsidR="00CE3D90" w:rsidRPr="009249FE">
        <w:rPr>
          <w:rFonts w:asciiTheme="minorHAnsi" w:hAnsiTheme="minorHAnsi" w:cstheme="minorHAnsi"/>
          <w:sz w:val="20"/>
        </w:rPr>
        <w:t xml:space="preserve"> </w:t>
      </w:r>
      <w:r w:rsidRPr="009249FE">
        <w:rPr>
          <w:rFonts w:asciiTheme="minorHAnsi" w:hAnsiTheme="minorHAnsi" w:cstheme="minorHAnsi"/>
          <w:sz w:val="20"/>
        </w:rPr>
        <w:t>remedy</w:t>
      </w:r>
      <w:r w:rsidR="00CE39B2">
        <w:rPr>
          <w:rFonts w:asciiTheme="minorHAnsi" w:hAnsiTheme="minorHAnsi" w:cstheme="minorHAnsi"/>
          <w:sz w:val="20"/>
        </w:rPr>
        <w:t xml:space="preserve"> </w:t>
      </w:r>
      <w:r w:rsidR="00AE1569">
        <w:rPr>
          <w:rFonts w:asciiTheme="minorHAnsi" w:hAnsiTheme="minorHAnsi" w:cstheme="minorHAnsi"/>
          <w:sz w:val="20"/>
        </w:rPr>
        <w:t xml:space="preserve">(breach) </w:t>
      </w:r>
      <w:r w:rsidR="00CE39B2">
        <w:rPr>
          <w:rFonts w:asciiTheme="minorHAnsi" w:hAnsiTheme="minorHAnsi" w:cstheme="minorHAnsi"/>
          <w:sz w:val="20"/>
        </w:rPr>
        <w:t>within 14 days</w:t>
      </w:r>
      <w:r w:rsidR="00CE3D90" w:rsidRPr="009249FE">
        <w:rPr>
          <w:rFonts w:asciiTheme="minorHAnsi" w:hAnsiTheme="minorHAnsi" w:cstheme="minorHAnsi"/>
          <w:sz w:val="20"/>
        </w:rPr>
        <w:t xml:space="preserve">  </w:t>
      </w:r>
    </w:p>
    <w:p w:rsidR="00AE1569" w:rsidRDefault="00EB5811" w:rsidP="00AE1569">
      <w:pPr>
        <w:ind w:right="-94"/>
        <w:rPr>
          <w:rFonts w:asciiTheme="minorHAnsi" w:hAnsiTheme="minorHAnsi" w:cstheme="minorHAnsi"/>
          <w:sz w:val="20"/>
        </w:rPr>
      </w:pPr>
      <w:proofErr w:type="gramStart"/>
      <w:r w:rsidRPr="009249FE">
        <w:rPr>
          <w:sz w:val="20"/>
        </w:rPr>
        <w:t xml:space="preserve">•  </w:t>
      </w:r>
      <w:r w:rsidR="00CE3D90" w:rsidRPr="009249FE">
        <w:rPr>
          <w:rFonts w:asciiTheme="minorHAnsi" w:hAnsiTheme="minorHAnsi" w:cstheme="minorHAnsi"/>
          <w:sz w:val="20"/>
        </w:rPr>
        <w:t>Seek</w:t>
      </w:r>
      <w:proofErr w:type="gramEnd"/>
      <w:r w:rsidR="00CE3D90" w:rsidRPr="009249FE">
        <w:rPr>
          <w:rFonts w:asciiTheme="minorHAnsi" w:hAnsiTheme="minorHAnsi" w:cstheme="minorHAnsi"/>
          <w:sz w:val="20"/>
        </w:rPr>
        <w:t xml:space="preserve"> enforcement from</w:t>
      </w:r>
      <w:r w:rsidR="0036221E" w:rsidRPr="009249FE">
        <w:rPr>
          <w:rFonts w:asciiTheme="minorHAnsi" w:hAnsiTheme="minorHAnsi" w:cstheme="minorHAnsi"/>
          <w:sz w:val="20"/>
        </w:rPr>
        <w:t xml:space="preserve"> the tenancy tribunal</w:t>
      </w:r>
      <w:r w:rsidR="00AD2107">
        <w:rPr>
          <w:rFonts w:asciiTheme="minorHAnsi" w:hAnsiTheme="minorHAnsi" w:cstheme="minorHAnsi"/>
          <w:sz w:val="20"/>
        </w:rPr>
        <w:t>.</w:t>
      </w:r>
    </w:p>
    <w:p w:rsidR="00AE1569" w:rsidRDefault="00AE1569" w:rsidP="00AE1569">
      <w:pPr>
        <w:ind w:right="-94"/>
        <w:rPr>
          <w:sz w:val="20"/>
        </w:rPr>
      </w:pPr>
    </w:p>
    <w:p w:rsidR="00AE1569" w:rsidRDefault="00AE1569" w:rsidP="00AE1569">
      <w:pPr>
        <w:ind w:right="-94"/>
        <w:rPr>
          <w:sz w:val="20"/>
        </w:rPr>
      </w:pPr>
    </w:p>
    <w:p w:rsidR="005D011E" w:rsidRDefault="003527AF" w:rsidP="005A3B11">
      <w:pPr>
        <w:pStyle w:val="Heading3"/>
      </w:pPr>
      <w:r>
        <w:t>E</w:t>
      </w:r>
      <w:r w:rsidR="005A3B11">
        <w:t>nd</w:t>
      </w:r>
      <w:r>
        <w:t>ing</w:t>
      </w:r>
      <w:r w:rsidR="005A3B11">
        <w:t xml:space="preserve"> </w:t>
      </w:r>
      <w:r w:rsidR="00F90881">
        <w:t>tenanc</w:t>
      </w:r>
      <w:r w:rsidR="004723E3">
        <w:t>ies</w:t>
      </w:r>
    </w:p>
    <w:p w:rsidR="0075577C" w:rsidRPr="009249FE" w:rsidRDefault="00A364D3" w:rsidP="005D011E">
      <w:pPr>
        <w:rPr>
          <w:sz w:val="20"/>
        </w:rPr>
      </w:pPr>
      <w:proofErr w:type="gramStart"/>
      <w:r w:rsidRPr="009249FE">
        <w:rPr>
          <w:sz w:val="20"/>
        </w:rPr>
        <w:t xml:space="preserve">•  </w:t>
      </w:r>
      <w:r w:rsidR="005D011E" w:rsidRPr="009249FE">
        <w:rPr>
          <w:sz w:val="20"/>
        </w:rPr>
        <w:t>Tenants</w:t>
      </w:r>
      <w:proofErr w:type="gramEnd"/>
      <w:r w:rsidR="005D011E" w:rsidRPr="009249FE">
        <w:rPr>
          <w:sz w:val="20"/>
        </w:rPr>
        <w:t xml:space="preserve"> must give 4 weeks written </w:t>
      </w:r>
      <w:r w:rsidR="00874ED5" w:rsidRPr="009249FE">
        <w:rPr>
          <w:sz w:val="20"/>
        </w:rPr>
        <w:t>notice</w:t>
      </w:r>
      <w:r w:rsidR="00193313" w:rsidRPr="009249FE">
        <w:rPr>
          <w:sz w:val="20"/>
        </w:rPr>
        <w:br/>
      </w:r>
      <w:r w:rsidRPr="009249FE">
        <w:rPr>
          <w:sz w:val="20"/>
        </w:rPr>
        <w:t xml:space="preserve">•  Landlords must give </w:t>
      </w:r>
      <w:r w:rsidR="001F4F85" w:rsidRPr="009249FE">
        <w:rPr>
          <w:sz w:val="20"/>
        </w:rPr>
        <w:t>13 weeks</w:t>
      </w:r>
      <w:r w:rsidRPr="009249FE">
        <w:rPr>
          <w:sz w:val="20"/>
        </w:rPr>
        <w:t xml:space="preserve"> </w:t>
      </w:r>
      <w:r w:rsidR="001F4F85" w:rsidRPr="009249FE">
        <w:rPr>
          <w:sz w:val="20"/>
        </w:rPr>
        <w:t xml:space="preserve">written </w:t>
      </w:r>
      <w:r w:rsidRPr="009249FE">
        <w:rPr>
          <w:sz w:val="20"/>
        </w:rPr>
        <w:t xml:space="preserve">notice </w:t>
      </w:r>
      <w:r w:rsidR="00193313" w:rsidRPr="009249FE">
        <w:rPr>
          <w:sz w:val="20"/>
        </w:rPr>
        <w:br/>
        <w:t xml:space="preserve">•  </w:t>
      </w:r>
      <w:r w:rsidR="005A3B11">
        <w:rPr>
          <w:sz w:val="20"/>
        </w:rPr>
        <w:t>Rent</w:t>
      </w:r>
      <w:r w:rsidR="003527AF">
        <w:rPr>
          <w:sz w:val="20"/>
        </w:rPr>
        <w:t xml:space="preserve">s </w:t>
      </w:r>
      <w:r w:rsidR="00663F92">
        <w:rPr>
          <w:sz w:val="20"/>
        </w:rPr>
        <w:t xml:space="preserve">must </w:t>
      </w:r>
      <w:r w:rsidR="00193313" w:rsidRPr="009249FE">
        <w:rPr>
          <w:sz w:val="20"/>
        </w:rPr>
        <w:t xml:space="preserve">continue until </w:t>
      </w:r>
      <w:r w:rsidR="003527AF">
        <w:rPr>
          <w:sz w:val="20"/>
        </w:rPr>
        <w:t>termination date</w:t>
      </w:r>
      <w:r w:rsidR="004723E3">
        <w:rPr>
          <w:sz w:val="20"/>
        </w:rPr>
        <w:t>s</w:t>
      </w:r>
      <w:r w:rsidR="003527AF">
        <w:rPr>
          <w:sz w:val="20"/>
        </w:rPr>
        <w:t xml:space="preserve"> </w:t>
      </w:r>
      <w:r w:rsidR="00193313" w:rsidRPr="009249FE">
        <w:rPr>
          <w:sz w:val="20"/>
        </w:rPr>
        <w:t xml:space="preserve"> </w:t>
      </w:r>
      <w:r w:rsidR="001F4F85" w:rsidRPr="009249FE">
        <w:rPr>
          <w:sz w:val="20"/>
        </w:rPr>
        <w:br/>
      </w:r>
      <w:r w:rsidRPr="009249FE">
        <w:rPr>
          <w:sz w:val="20"/>
        </w:rPr>
        <w:t xml:space="preserve">•  Bonds are refunded after departure inspections  </w:t>
      </w:r>
      <w:r w:rsidR="0036221E" w:rsidRPr="009249FE">
        <w:rPr>
          <w:sz w:val="20"/>
        </w:rPr>
        <w:t xml:space="preserve"> </w:t>
      </w:r>
      <w:r w:rsidR="001731D3">
        <w:rPr>
          <w:sz w:val="20"/>
        </w:rPr>
        <w:br/>
      </w:r>
      <w:r w:rsidR="00965DDF" w:rsidRPr="009249FE">
        <w:rPr>
          <w:sz w:val="20"/>
        </w:rPr>
        <w:t xml:space="preserve">•  Tribunals </w:t>
      </w:r>
      <w:r w:rsidR="00965DDF">
        <w:rPr>
          <w:sz w:val="20"/>
        </w:rPr>
        <w:t xml:space="preserve">can </w:t>
      </w:r>
      <w:r w:rsidR="00965DDF" w:rsidRPr="009249FE">
        <w:rPr>
          <w:sz w:val="20"/>
        </w:rPr>
        <w:t>order immediate evictions</w:t>
      </w:r>
      <w:r w:rsidR="00965DDF" w:rsidRPr="009249FE">
        <w:rPr>
          <w:sz w:val="20"/>
        </w:rPr>
        <w:br/>
      </w:r>
    </w:p>
    <w:p w:rsidR="00AE1569" w:rsidRDefault="00AE1569" w:rsidP="00AE1569">
      <w:pPr>
        <w:rPr>
          <w:sz w:val="20"/>
        </w:rPr>
      </w:pPr>
      <w:r>
        <w:rPr>
          <w:sz w:val="20"/>
        </w:rPr>
        <w:br/>
      </w:r>
      <w:r w:rsidRPr="00AE1569">
        <w:rPr>
          <w:b/>
          <w:sz w:val="24"/>
          <w:szCs w:val="24"/>
        </w:rPr>
        <w:t xml:space="preserve">Tribunal </w:t>
      </w:r>
      <w:r w:rsidR="00663F92">
        <w:rPr>
          <w:b/>
          <w:sz w:val="24"/>
          <w:szCs w:val="24"/>
        </w:rPr>
        <w:t xml:space="preserve">order evictions </w:t>
      </w:r>
      <w:r w:rsidR="00965DDF">
        <w:rPr>
          <w:b/>
          <w:sz w:val="24"/>
          <w:szCs w:val="24"/>
        </w:rPr>
        <w:t>w</w:t>
      </w:r>
      <w:r w:rsidR="00663F92">
        <w:rPr>
          <w:b/>
          <w:sz w:val="24"/>
          <w:szCs w:val="24"/>
        </w:rPr>
        <w:t>hen</w:t>
      </w:r>
      <w:proofErr w:type="gramStart"/>
      <w:r w:rsidR="00663F92">
        <w:rPr>
          <w:b/>
          <w:sz w:val="24"/>
          <w:szCs w:val="24"/>
        </w:rPr>
        <w:t>:-</w:t>
      </w:r>
      <w:proofErr w:type="gramEnd"/>
      <w:r>
        <w:rPr>
          <w:sz w:val="20"/>
        </w:rPr>
        <w:t xml:space="preserve"> </w:t>
      </w:r>
      <w:r>
        <w:rPr>
          <w:sz w:val="20"/>
        </w:rPr>
        <w:br/>
      </w:r>
      <w:r w:rsidR="00663F92" w:rsidRPr="009249FE">
        <w:rPr>
          <w:sz w:val="20"/>
        </w:rPr>
        <w:t xml:space="preserve">•  </w:t>
      </w:r>
      <w:r w:rsidR="00663F92">
        <w:rPr>
          <w:sz w:val="20"/>
        </w:rPr>
        <w:t>Rents exceed 3 weeks arrears</w:t>
      </w:r>
      <w:r w:rsidR="00663F92">
        <w:rPr>
          <w:sz w:val="20"/>
        </w:rPr>
        <w:br/>
      </w:r>
      <w:r w:rsidR="00663F92" w:rsidRPr="009249FE">
        <w:rPr>
          <w:sz w:val="20"/>
        </w:rPr>
        <w:t xml:space="preserve">•  </w:t>
      </w:r>
      <w:r w:rsidR="00663F92">
        <w:rPr>
          <w:sz w:val="20"/>
        </w:rPr>
        <w:t xml:space="preserve">Notices to remedy breaches are </w:t>
      </w:r>
      <w:r w:rsidR="00965DDF">
        <w:rPr>
          <w:sz w:val="20"/>
        </w:rPr>
        <w:t>not honoured</w:t>
      </w:r>
      <w:r w:rsidR="00965DDF">
        <w:rPr>
          <w:sz w:val="20"/>
        </w:rPr>
        <w:br/>
      </w:r>
      <w:r w:rsidR="00965DDF" w:rsidRPr="009249FE">
        <w:rPr>
          <w:sz w:val="20"/>
        </w:rPr>
        <w:t xml:space="preserve">•  </w:t>
      </w:r>
      <w:r w:rsidR="00965DDF">
        <w:rPr>
          <w:sz w:val="20"/>
        </w:rPr>
        <w:t>Three breach notices are made within 90 days</w:t>
      </w:r>
      <w:r w:rsidR="00965DDF">
        <w:rPr>
          <w:sz w:val="20"/>
        </w:rPr>
        <w:br/>
      </w:r>
      <w:r w:rsidR="00965DDF" w:rsidRPr="009249FE">
        <w:rPr>
          <w:sz w:val="20"/>
        </w:rPr>
        <w:t xml:space="preserve">•  </w:t>
      </w:r>
      <w:r w:rsidR="00965DDF">
        <w:rPr>
          <w:sz w:val="20"/>
        </w:rPr>
        <w:t>Violence is threatened or administered</w:t>
      </w:r>
      <w:r w:rsidR="00965DDF">
        <w:rPr>
          <w:sz w:val="20"/>
        </w:rPr>
        <w:br/>
        <w:t xml:space="preserve"> </w:t>
      </w:r>
    </w:p>
    <w:p w:rsidR="003527AF" w:rsidRDefault="003527AF" w:rsidP="00AE1569">
      <w:pPr>
        <w:rPr>
          <w:sz w:val="20"/>
        </w:rPr>
      </w:pPr>
    </w:p>
    <w:p w:rsidR="004566B4" w:rsidRDefault="00B614A5" w:rsidP="00AE5EAF">
      <w:pPr>
        <w:rPr>
          <w:sz w:val="20"/>
        </w:rPr>
      </w:pPr>
      <w:r>
        <w:rPr>
          <w:b/>
          <w:sz w:val="24"/>
          <w:szCs w:val="24"/>
        </w:rPr>
        <w:t xml:space="preserve">Inflation </w:t>
      </w:r>
      <w:r w:rsidR="004566B4">
        <w:rPr>
          <w:b/>
          <w:sz w:val="24"/>
          <w:szCs w:val="24"/>
        </w:rPr>
        <w:t>assists renters</w:t>
      </w:r>
      <w:proofErr w:type="gramStart"/>
      <w:r>
        <w:rPr>
          <w:b/>
          <w:sz w:val="24"/>
          <w:szCs w:val="24"/>
        </w:rPr>
        <w:t>:-</w:t>
      </w:r>
      <w:proofErr w:type="gramEnd"/>
      <w:r>
        <w:rPr>
          <w:sz w:val="20"/>
        </w:rPr>
        <w:t xml:space="preserve"> </w:t>
      </w:r>
      <w:r>
        <w:rPr>
          <w:sz w:val="20"/>
        </w:rPr>
        <w:br/>
      </w:r>
      <w:r w:rsidR="00F850BA">
        <w:rPr>
          <w:sz w:val="20"/>
        </w:rPr>
        <w:t xml:space="preserve">Rents are lower than </w:t>
      </w:r>
      <w:r w:rsidR="004566B4">
        <w:rPr>
          <w:sz w:val="20"/>
        </w:rPr>
        <w:t xml:space="preserve">total </w:t>
      </w:r>
      <w:r w:rsidR="00F850BA">
        <w:rPr>
          <w:sz w:val="20"/>
        </w:rPr>
        <w:t xml:space="preserve">operating costs </w:t>
      </w:r>
      <w:r w:rsidR="00F850BA" w:rsidRPr="00F850BA">
        <w:rPr>
          <w:sz w:val="20"/>
        </w:rPr>
        <w:t>b</w:t>
      </w:r>
      <w:r w:rsidR="00F850BA" w:rsidRPr="00F850BA">
        <w:rPr>
          <w:sz w:val="20"/>
        </w:rPr>
        <w:t xml:space="preserve">ecause </w:t>
      </w:r>
      <w:r w:rsidR="004566B4">
        <w:rPr>
          <w:sz w:val="20"/>
        </w:rPr>
        <w:t xml:space="preserve">weekly </w:t>
      </w:r>
      <w:r w:rsidR="00B7157D">
        <w:rPr>
          <w:sz w:val="20"/>
        </w:rPr>
        <w:t xml:space="preserve">because owners let their </w:t>
      </w:r>
      <w:r w:rsidR="004566B4">
        <w:rPr>
          <w:sz w:val="20"/>
        </w:rPr>
        <w:t>capital gains from i</w:t>
      </w:r>
      <w:r w:rsidR="004566B4">
        <w:rPr>
          <w:sz w:val="20"/>
        </w:rPr>
        <w:t>n</w:t>
      </w:r>
      <w:r w:rsidR="004566B4">
        <w:rPr>
          <w:sz w:val="20"/>
        </w:rPr>
        <w:t xml:space="preserve">flation </w:t>
      </w:r>
      <w:r w:rsidR="00B7157D">
        <w:rPr>
          <w:sz w:val="20"/>
        </w:rPr>
        <w:t xml:space="preserve">help </w:t>
      </w:r>
      <w:r w:rsidR="004566B4">
        <w:rPr>
          <w:sz w:val="20"/>
        </w:rPr>
        <w:t>meet</w:t>
      </w:r>
      <w:r w:rsidR="00B7157D">
        <w:rPr>
          <w:sz w:val="20"/>
        </w:rPr>
        <w:t xml:space="preserve"> renting </w:t>
      </w:r>
      <w:r w:rsidR="004566B4">
        <w:rPr>
          <w:sz w:val="20"/>
        </w:rPr>
        <w:t>costs.</w:t>
      </w:r>
    </w:p>
    <w:p w:rsidR="00A41A93" w:rsidRDefault="00A41A93" w:rsidP="00AE5EAF">
      <w:pPr>
        <w:rPr>
          <w:sz w:val="20"/>
        </w:rPr>
      </w:pPr>
    </w:p>
    <w:p w:rsidR="00B47B1D" w:rsidRDefault="004566B4" w:rsidP="00AE5EAF">
      <w:pPr>
        <w:rPr>
          <w:sz w:val="20"/>
        </w:rPr>
      </w:pPr>
      <w:r>
        <w:rPr>
          <w:sz w:val="20"/>
        </w:rPr>
        <w:t xml:space="preserve"> </w:t>
      </w:r>
    </w:p>
    <w:p w:rsidR="00926F43" w:rsidRPr="00AE5EAF" w:rsidRDefault="00745364" w:rsidP="00AE5EAF">
      <w:pPr>
        <w:rPr>
          <w:sz w:val="20"/>
        </w:rPr>
      </w:pPr>
      <w:r>
        <w:rPr>
          <w:b/>
          <w:sz w:val="24"/>
          <w:szCs w:val="24"/>
        </w:rPr>
        <w:t>R</w:t>
      </w:r>
      <w:r w:rsidR="00B47B1D">
        <w:rPr>
          <w:b/>
          <w:sz w:val="24"/>
          <w:szCs w:val="24"/>
        </w:rPr>
        <w:t>entals are sold</w:t>
      </w:r>
      <w:r>
        <w:rPr>
          <w:b/>
          <w:sz w:val="24"/>
          <w:szCs w:val="24"/>
        </w:rPr>
        <w:t xml:space="preserve"> when:-</w:t>
      </w:r>
      <w:r w:rsidR="00B47B1D">
        <w:rPr>
          <w:b/>
          <w:sz w:val="24"/>
          <w:szCs w:val="24"/>
        </w:rPr>
        <w:br/>
      </w:r>
      <w:r>
        <w:rPr>
          <w:sz w:val="20"/>
        </w:rPr>
        <w:t>O</w:t>
      </w:r>
      <w:r w:rsidR="00B7157D">
        <w:rPr>
          <w:sz w:val="20"/>
        </w:rPr>
        <w:t>wners realise</w:t>
      </w:r>
      <w:r w:rsidR="00CA5AAC">
        <w:rPr>
          <w:sz w:val="20"/>
        </w:rPr>
        <w:t>:-</w:t>
      </w:r>
      <w:r w:rsidR="00B7157D">
        <w:rPr>
          <w:sz w:val="20"/>
        </w:rPr>
        <w:t xml:space="preserve"> </w:t>
      </w:r>
      <w:r w:rsidR="00B7157D">
        <w:rPr>
          <w:sz w:val="20"/>
        </w:rPr>
        <w:br/>
      </w:r>
      <w:r w:rsidR="00B7157D" w:rsidRPr="009249FE">
        <w:rPr>
          <w:sz w:val="20"/>
        </w:rPr>
        <w:t xml:space="preserve">•  </w:t>
      </w:r>
      <w:r w:rsidR="00080DCA">
        <w:rPr>
          <w:sz w:val="20"/>
        </w:rPr>
        <w:t>T</w:t>
      </w:r>
      <w:r w:rsidR="00B7157D">
        <w:rPr>
          <w:sz w:val="20"/>
        </w:rPr>
        <w:t xml:space="preserve">hey </w:t>
      </w:r>
      <w:r>
        <w:rPr>
          <w:sz w:val="20"/>
        </w:rPr>
        <w:t>forgo</w:t>
      </w:r>
      <w:r w:rsidR="00CA5AAC">
        <w:rPr>
          <w:sz w:val="20"/>
        </w:rPr>
        <w:t xml:space="preserve"> </w:t>
      </w:r>
      <w:r w:rsidR="00B7157D">
        <w:rPr>
          <w:sz w:val="20"/>
        </w:rPr>
        <w:t xml:space="preserve">interest </w:t>
      </w:r>
      <w:r w:rsidR="00CA5AAC">
        <w:rPr>
          <w:sz w:val="20"/>
        </w:rPr>
        <w:t>on</w:t>
      </w:r>
      <w:r w:rsidR="00B7157D">
        <w:rPr>
          <w:sz w:val="20"/>
        </w:rPr>
        <w:t xml:space="preserve"> their </w:t>
      </w:r>
      <w:r>
        <w:rPr>
          <w:sz w:val="20"/>
        </w:rPr>
        <w:t xml:space="preserve">rental </w:t>
      </w:r>
      <w:r w:rsidR="00B7157D">
        <w:rPr>
          <w:sz w:val="20"/>
        </w:rPr>
        <w:t>investment</w:t>
      </w:r>
      <w:r>
        <w:rPr>
          <w:sz w:val="20"/>
        </w:rPr>
        <w:t>s</w:t>
      </w:r>
      <w:r w:rsidR="00080DCA">
        <w:rPr>
          <w:sz w:val="20"/>
        </w:rPr>
        <w:br/>
      </w:r>
      <w:r w:rsidR="00080DCA" w:rsidRPr="009249FE">
        <w:rPr>
          <w:sz w:val="20"/>
        </w:rPr>
        <w:t xml:space="preserve">•  </w:t>
      </w:r>
      <w:r>
        <w:rPr>
          <w:sz w:val="20"/>
        </w:rPr>
        <w:t>They are paying</w:t>
      </w:r>
      <w:r w:rsidR="00080DCA">
        <w:rPr>
          <w:sz w:val="20"/>
        </w:rPr>
        <w:t xml:space="preserve"> </w:t>
      </w:r>
      <w:r w:rsidR="00F944D9">
        <w:rPr>
          <w:sz w:val="20"/>
        </w:rPr>
        <w:t xml:space="preserve">trading </w:t>
      </w:r>
      <w:r w:rsidR="00CA5AAC">
        <w:rPr>
          <w:sz w:val="20"/>
        </w:rPr>
        <w:t>losses</w:t>
      </w:r>
      <w:r w:rsidR="00080DCA">
        <w:rPr>
          <w:sz w:val="20"/>
        </w:rPr>
        <w:t xml:space="preserve"> from other income</w:t>
      </w:r>
      <w:r w:rsidR="00CA5AAC">
        <w:rPr>
          <w:sz w:val="20"/>
        </w:rPr>
        <w:t>s</w:t>
      </w:r>
      <w:r w:rsidR="00F944D9">
        <w:rPr>
          <w:sz w:val="20"/>
        </w:rPr>
        <w:br/>
      </w:r>
      <w:r w:rsidRPr="009249FE">
        <w:rPr>
          <w:sz w:val="20"/>
        </w:rPr>
        <w:t xml:space="preserve">•  </w:t>
      </w:r>
      <w:r>
        <w:rPr>
          <w:sz w:val="20"/>
        </w:rPr>
        <w:t xml:space="preserve">Breaches add to </w:t>
      </w:r>
      <w:r>
        <w:rPr>
          <w:sz w:val="20"/>
        </w:rPr>
        <w:t xml:space="preserve">their </w:t>
      </w:r>
      <w:r>
        <w:rPr>
          <w:sz w:val="20"/>
        </w:rPr>
        <w:t>losses</w:t>
      </w:r>
      <w:r>
        <w:rPr>
          <w:sz w:val="20"/>
        </w:rPr>
        <w:br/>
      </w:r>
      <w:r w:rsidR="00F944D9" w:rsidRPr="009249FE">
        <w:rPr>
          <w:sz w:val="20"/>
        </w:rPr>
        <w:t xml:space="preserve">•  </w:t>
      </w:r>
      <w:r w:rsidR="00F944D9">
        <w:rPr>
          <w:sz w:val="20"/>
        </w:rPr>
        <w:t>Capital gains are less tha</w:t>
      </w:r>
      <w:r>
        <w:rPr>
          <w:sz w:val="20"/>
        </w:rPr>
        <w:t>n averaged trading losses</w:t>
      </w:r>
      <w:r w:rsidR="00F944D9">
        <w:rPr>
          <w:sz w:val="20"/>
        </w:rPr>
        <w:t xml:space="preserve"> </w:t>
      </w:r>
      <w:r w:rsidR="00080DCA">
        <w:rPr>
          <w:sz w:val="20"/>
        </w:rPr>
        <w:br/>
      </w:r>
      <w:r w:rsidR="00080DCA" w:rsidRPr="009249FE">
        <w:rPr>
          <w:sz w:val="20"/>
        </w:rPr>
        <w:t xml:space="preserve">•  </w:t>
      </w:r>
      <w:r w:rsidR="00F850BA" w:rsidRPr="00462374">
        <w:rPr>
          <w:sz w:val="20"/>
        </w:rPr>
        <w:t>Purchases from property sale</w:t>
      </w:r>
      <w:r w:rsidR="00462374">
        <w:rPr>
          <w:sz w:val="20"/>
        </w:rPr>
        <w:t>s</w:t>
      </w:r>
      <w:r w:rsidR="00F850BA" w:rsidRPr="00462374">
        <w:rPr>
          <w:sz w:val="20"/>
        </w:rPr>
        <w:t xml:space="preserve"> also </w:t>
      </w:r>
      <w:r w:rsidR="00B47B1D" w:rsidRPr="00462374">
        <w:rPr>
          <w:sz w:val="20"/>
        </w:rPr>
        <w:t>rise</w:t>
      </w:r>
      <w:r w:rsidR="00CA5AAC">
        <w:rPr>
          <w:sz w:val="20"/>
        </w:rPr>
        <w:t xml:space="preserve"> with infl</w:t>
      </w:r>
      <w:r w:rsidR="00CA5AAC">
        <w:rPr>
          <w:sz w:val="20"/>
        </w:rPr>
        <w:t>a</w:t>
      </w:r>
      <w:r w:rsidR="00CA5AAC">
        <w:rPr>
          <w:sz w:val="20"/>
        </w:rPr>
        <w:t>tion</w:t>
      </w:r>
      <w:r>
        <w:rPr>
          <w:sz w:val="20"/>
        </w:rPr>
        <w:br/>
      </w:r>
      <w:r w:rsidR="00F944D9" w:rsidRPr="009249FE">
        <w:rPr>
          <w:sz w:val="20"/>
        </w:rPr>
        <w:t xml:space="preserve">•  </w:t>
      </w:r>
      <w:r w:rsidR="00A41A93">
        <w:rPr>
          <w:sz w:val="20"/>
        </w:rPr>
        <w:t>O</w:t>
      </w:r>
      <w:r w:rsidR="002F4AE0">
        <w:rPr>
          <w:sz w:val="20"/>
        </w:rPr>
        <w:t>ther investments</w:t>
      </w:r>
      <w:r w:rsidR="00A41A93">
        <w:rPr>
          <w:sz w:val="20"/>
        </w:rPr>
        <w:t xml:space="preserve"> pay interest</w:t>
      </w:r>
      <w:r w:rsidR="00BF2133">
        <w:rPr>
          <w:sz w:val="20"/>
        </w:rPr>
        <w:t>.</w:t>
      </w:r>
      <w:r w:rsidR="00BF2133">
        <w:rPr>
          <w:sz w:val="20"/>
        </w:rPr>
        <w:br/>
      </w:r>
    </w:p>
    <w:sectPr w:rsidR="00926F43" w:rsidRPr="00AE5EAF" w:rsidSect="00AA6D2B">
      <w:type w:val="continuous"/>
      <w:pgSz w:w="16834" w:h="11909" w:orient="landscape" w:code="9"/>
      <w:pgMar w:top="284" w:right="674" w:bottom="142" w:left="357" w:header="578" w:footer="578" w:gutter="295"/>
      <w:cols w:num="3" w:space="73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F4" w:rsidRDefault="000F74F4" w:rsidP="00AC60CB">
      <w:r>
        <w:separator/>
      </w:r>
    </w:p>
  </w:endnote>
  <w:endnote w:type="continuationSeparator" w:id="0">
    <w:p w:rsidR="000F74F4" w:rsidRDefault="000F74F4" w:rsidP="00AC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F4" w:rsidRDefault="000F74F4" w:rsidP="00AC60CB">
      <w:r>
        <w:separator/>
      </w:r>
    </w:p>
  </w:footnote>
  <w:footnote w:type="continuationSeparator" w:id="0">
    <w:p w:rsidR="000F74F4" w:rsidRDefault="000F74F4" w:rsidP="00AC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4EF3B2"/>
    <w:lvl w:ilvl="0">
      <w:numFmt w:val="decimal"/>
      <w:lvlText w:val="*"/>
      <w:lvlJc w:val="left"/>
    </w:lvl>
  </w:abstractNum>
  <w:abstractNum w:abstractNumId="1">
    <w:nsid w:val="0C722192"/>
    <w:multiLevelType w:val="hybridMultilevel"/>
    <w:tmpl w:val="16204C8E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C72CEC"/>
    <w:multiLevelType w:val="hybridMultilevel"/>
    <w:tmpl w:val="04B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16AB"/>
    <w:multiLevelType w:val="hybridMultilevel"/>
    <w:tmpl w:val="A2EA6B20"/>
    <w:lvl w:ilvl="0" w:tplc="944EF3B2">
      <w:start w:val="1"/>
      <w:numFmt w:val="bullet"/>
      <w:lvlText w:val="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1119F"/>
    <w:multiLevelType w:val="hybridMultilevel"/>
    <w:tmpl w:val="4D60EB9E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91E3C10"/>
    <w:multiLevelType w:val="hybridMultilevel"/>
    <w:tmpl w:val="D074724E"/>
    <w:lvl w:ilvl="0" w:tplc="944EF3B2">
      <w:start w:val="1"/>
      <w:numFmt w:val="bullet"/>
      <w:lvlText w:val=""/>
      <w:legacy w:legacy="1" w:legacySpace="0" w:legacyIndent="227"/>
      <w:lvlJc w:val="left"/>
      <w:pPr>
        <w:ind w:left="369" w:hanging="22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E19502B"/>
    <w:multiLevelType w:val="hybridMultilevel"/>
    <w:tmpl w:val="7606237A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F4A0E7D"/>
    <w:multiLevelType w:val="hybridMultilevel"/>
    <w:tmpl w:val="FAEAACBC"/>
    <w:lvl w:ilvl="0" w:tplc="24C4BC4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9716E1"/>
    <w:multiLevelType w:val="hybridMultilevel"/>
    <w:tmpl w:val="B9E0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A0EB0"/>
    <w:multiLevelType w:val="hybridMultilevel"/>
    <w:tmpl w:val="47E8DE3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18D48C0"/>
    <w:multiLevelType w:val="hybridMultilevel"/>
    <w:tmpl w:val="76FE4F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30679"/>
    <w:multiLevelType w:val="hybridMultilevel"/>
    <w:tmpl w:val="E66C47FA"/>
    <w:lvl w:ilvl="0" w:tplc="F1AE2438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7021EB5"/>
    <w:multiLevelType w:val="hybridMultilevel"/>
    <w:tmpl w:val="91981D4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D1EFC"/>
    <w:multiLevelType w:val="hybridMultilevel"/>
    <w:tmpl w:val="57BE7F0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31E04"/>
    <w:multiLevelType w:val="hybridMultilevel"/>
    <w:tmpl w:val="4CCA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F2ED7"/>
    <w:multiLevelType w:val="hybridMultilevel"/>
    <w:tmpl w:val="BF8C18D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1D57DE9"/>
    <w:multiLevelType w:val="hybridMultilevel"/>
    <w:tmpl w:val="5C78BEB0"/>
    <w:lvl w:ilvl="0" w:tplc="1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89563DD"/>
    <w:multiLevelType w:val="hybridMultilevel"/>
    <w:tmpl w:val="43AEF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271A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61D63"/>
    <w:multiLevelType w:val="hybridMultilevel"/>
    <w:tmpl w:val="0E784D0A"/>
    <w:lvl w:ilvl="0" w:tplc="1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9">
    <w:nsid w:val="4478707A"/>
    <w:multiLevelType w:val="hybridMultilevel"/>
    <w:tmpl w:val="70C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4600B"/>
    <w:multiLevelType w:val="hybridMultilevel"/>
    <w:tmpl w:val="F4A29242"/>
    <w:lvl w:ilvl="0" w:tplc="1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D5403"/>
    <w:multiLevelType w:val="hybridMultilevel"/>
    <w:tmpl w:val="8580F7E8"/>
    <w:lvl w:ilvl="0" w:tplc="1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BC6419F"/>
    <w:multiLevelType w:val="hybridMultilevel"/>
    <w:tmpl w:val="8316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542C6"/>
    <w:multiLevelType w:val="hybridMultilevel"/>
    <w:tmpl w:val="E1982FA6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FD01D7B"/>
    <w:multiLevelType w:val="hybridMultilevel"/>
    <w:tmpl w:val="7B863A10"/>
    <w:lvl w:ilvl="0" w:tplc="944EF3B2">
      <w:start w:val="1"/>
      <w:numFmt w:val="bullet"/>
      <w:lvlText w:val="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878B8"/>
    <w:multiLevelType w:val="hybridMultilevel"/>
    <w:tmpl w:val="02DABCF6"/>
    <w:lvl w:ilvl="0" w:tplc="9A4AB0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8492A"/>
    <w:multiLevelType w:val="hybridMultilevel"/>
    <w:tmpl w:val="4F1C3ED8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CCB14A6"/>
    <w:multiLevelType w:val="hybridMultilevel"/>
    <w:tmpl w:val="AF3630FE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3127893"/>
    <w:multiLevelType w:val="hybridMultilevel"/>
    <w:tmpl w:val="D1380CF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8B52703"/>
    <w:multiLevelType w:val="hybridMultilevel"/>
    <w:tmpl w:val="9326B8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13A91"/>
    <w:multiLevelType w:val="hybridMultilevel"/>
    <w:tmpl w:val="256E4CE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3DD26CA"/>
    <w:multiLevelType w:val="hybridMultilevel"/>
    <w:tmpl w:val="8FA2AB44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7752060"/>
    <w:multiLevelType w:val="hybridMultilevel"/>
    <w:tmpl w:val="F73428D6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5"/>
  </w:num>
  <w:num w:numId="5">
    <w:abstractNumId w:val="24"/>
  </w:num>
  <w:num w:numId="6">
    <w:abstractNumId w:val="3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28"/>
  </w:num>
  <w:num w:numId="12">
    <w:abstractNumId w:val="8"/>
  </w:num>
  <w:num w:numId="13">
    <w:abstractNumId w:val="19"/>
  </w:num>
  <w:num w:numId="14">
    <w:abstractNumId w:val="14"/>
  </w:num>
  <w:num w:numId="15">
    <w:abstractNumId w:val="22"/>
  </w:num>
  <w:num w:numId="16">
    <w:abstractNumId w:val="27"/>
  </w:num>
  <w:num w:numId="17">
    <w:abstractNumId w:val="15"/>
  </w:num>
  <w:num w:numId="18">
    <w:abstractNumId w:val="17"/>
  </w:num>
  <w:num w:numId="19">
    <w:abstractNumId w:val="29"/>
  </w:num>
  <w:num w:numId="20">
    <w:abstractNumId w:val="25"/>
  </w:num>
  <w:num w:numId="21">
    <w:abstractNumId w:val="10"/>
  </w:num>
  <w:num w:numId="22">
    <w:abstractNumId w:val="11"/>
  </w:num>
  <w:num w:numId="23">
    <w:abstractNumId w:val="4"/>
  </w:num>
  <w:num w:numId="24">
    <w:abstractNumId w:val="6"/>
  </w:num>
  <w:num w:numId="25">
    <w:abstractNumId w:val="32"/>
  </w:num>
  <w:num w:numId="26">
    <w:abstractNumId w:val="13"/>
  </w:num>
  <w:num w:numId="27">
    <w:abstractNumId w:val="20"/>
  </w:num>
  <w:num w:numId="28">
    <w:abstractNumId w:val="16"/>
  </w:num>
  <w:num w:numId="29">
    <w:abstractNumId w:val="31"/>
  </w:num>
  <w:num w:numId="30">
    <w:abstractNumId w:val="21"/>
  </w:num>
  <w:num w:numId="31">
    <w:abstractNumId w:val="23"/>
  </w:num>
  <w:num w:numId="32">
    <w:abstractNumId w:val="7"/>
  </w:num>
  <w:num w:numId="33">
    <w:abstractNumId w:val="1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A6"/>
    <w:rsid w:val="00001D95"/>
    <w:rsid w:val="000023A3"/>
    <w:rsid w:val="00002A65"/>
    <w:rsid w:val="00003F7B"/>
    <w:rsid w:val="00004712"/>
    <w:rsid w:val="00004765"/>
    <w:rsid w:val="000110E1"/>
    <w:rsid w:val="00011861"/>
    <w:rsid w:val="00016FD6"/>
    <w:rsid w:val="00020F9F"/>
    <w:rsid w:val="0002253A"/>
    <w:rsid w:val="00022E20"/>
    <w:rsid w:val="000247C6"/>
    <w:rsid w:val="000256D5"/>
    <w:rsid w:val="00032F56"/>
    <w:rsid w:val="0003349E"/>
    <w:rsid w:val="0004280B"/>
    <w:rsid w:val="00046C0D"/>
    <w:rsid w:val="000475C7"/>
    <w:rsid w:val="00047A99"/>
    <w:rsid w:val="000509CB"/>
    <w:rsid w:val="00052194"/>
    <w:rsid w:val="00053DE8"/>
    <w:rsid w:val="0005594F"/>
    <w:rsid w:val="00055C34"/>
    <w:rsid w:val="000568F5"/>
    <w:rsid w:val="000570B1"/>
    <w:rsid w:val="000603D5"/>
    <w:rsid w:val="0006146C"/>
    <w:rsid w:val="0006368A"/>
    <w:rsid w:val="00063809"/>
    <w:rsid w:val="00063D56"/>
    <w:rsid w:val="00063EEC"/>
    <w:rsid w:val="00064E48"/>
    <w:rsid w:val="00064F98"/>
    <w:rsid w:val="000665FE"/>
    <w:rsid w:val="000677FB"/>
    <w:rsid w:val="000715E5"/>
    <w:rsid w:val="000724E6"/>
    <w:rsid w:val="00072FA7"/>
    <w:rsid w:val="00073FB7"/>
    <w:rsid w:val="0007771A"/>
    <w:rsid w:val="000803C3"/>
    <w:rsid w:val="00080DCA"/>
    <w:rsid w:val="00081AF4"/>
    <w:rsid w:val="00081D74"/>
    <w:rsid w:val="00082020"/>
    <w:rsid w:val="000824A7"/>
    <w:rsid w:val="00083F86"/>
    <w:rsid w:val="000841C2"/>
    <w:rsid w:val="00086C56"/>
    <w:rsid w:val="00087B2F"/>
    <w:rsid w:val="000915F4"/>
    <w:rsid w:val="00094BBD"/>
    <w:rsid w:val="00094E23"/>
    <w:rsid w:val="000958A9"/>
    <w:rsid w:val="0009680E"/>
    <w:rsid w:val="000A0666"/>
    <w:rsid w:val="000A4763"/>
    <w:rsid w:val="000A7ACE"/>
    <w:rsid w:val="000B1921"/>
    <w:rsid w:val="000B2520"/>
    <w:rsid w:val="000B2DDB"/>
    <w:rsid w:val="000B4312"/>
    <w:rsid w:val="000B4E7D"/>
    <w:rsid w:val="000B585B"/>
    <w:rsid w:val="000B5B9A"/>
    <w:rsid w:val="000B7551"/>
    <w:rsid w:val="000C37E3"/>
    <w:rsid w:val="000C5448"/>
    <w:rsid w:val="000C751D"/>
    <w:rsid w:val="000D0447"/>
    <w:rsid w:val="000D1025"/>
    <w:rsid w:val="000D23C8"/>
    <w:rsid w:val="000D503C"/>
    <w:rsid w:val="000D51B1"/>
    <w:rsid w:val="000D59B1"/>
    <w:rsid w:val="000D643F"/>
    <w:rsid w:val="000D74D3"/>
    <w:rsid w:val="000D77D5"/>
    <w:rsid w:val="000E5B33"/>
    <w:rsid w:val="000F1301"/>
    <w:rsid w:val="000F1373"/>
    <w:rsid w:val="000F1709"/>
    <w:rsid w:val="000F1B19"/>
    <w:rsid w:val="000F47E0"/>
    <w:rsid w:val="000F74F4"/>
    <w:rsid w:val="000F7619"/>
    <w:rsid w:val="00100099"/>
    <w:rsid w:val="00100BD7"/>
    <w:rsid w:val="00101C0C"/>
    <w:rsid w:val="00103C1E"/>
    <w:rsid w:val="0010481B"/>
    <w:rsid w:val="001057A2"/>
    <w:rsid w:val="00107CB5"/>
    <w:rsid w:val="00110033"/>
    <w:rsid w:val="001104BB"/>
    <w:rsid w:val="001113EF"/>
    <w:rsid w:val="00111420"/>
    <w:rsid w:val="001121F9"/>
    <w:rsid w:val="0011441B"/>
    <w:rsid w:val="00117472"/>
    <w:rsid w:val="001206BA"/>
    <w:rsid w:val="0012100E"/>
    <w:rsid w:val="00121089"/>
    <w:rsid w:val="00121E40"/>
    <w:rsid w:val="00122B86"/>
    <w:rsid w:val="00122DA3"/>
    <w:rsid w:val="001234F7"/>
    <w:rsid w:val="001238FF"/>
    <w:rsid w:val="001240BB"/>
    <w:rsid w:val="00124F1F"/>
    <w:rsid w:val="00125CF8"/>
    <w:rsid w:val="001272DA"/>
    <w:rsid w:val="00127747"/>
    <w:rsid w:val="00135A5A"/>
    <w:rsid w:val="0013678E"/>
    <w:rsid w:val="00137A41"/>
    <w:rsid w:val="00141A8A"/>
    <w:rsid w:val="00144AB1"/>
    <w:rsid w:val="00147720"/>
    <w:rsid w:val="00147F81"/>
    <w:rsid w:val="00147FCB"/>
    <w:rsid w:val="00150E16"/>
    <w:rsid w:val="001525CB"/>
    <w:rsid w:val="00153112"/>
    <w:rsid w:val="001541C7"/>
    <w:rsid w:val="00157738"/>
    <w:rsid w:val="00157A5F"/>
    <w:rsid w:val="00157E7E"/>
    <w:rsid w:val="0016242D"/>
    <w:rsid w:val="0016264B"/>
    <w:rsid w:val="00162E4A"/>
    <w:rsid w:val="001652D9"/>
    <w:rsid w:val="001660A9"/>
    <w:rsid w:val="00166F75"/>
    <w:rsid w:val="00170713"/>
    <w:rsid w:val="0017126A"/>
    <w:rsid w:val="001713FD"/>
    <w:rsid w:val="00172AB1"/>
    <w:rsid w:val="001731D3"/>
    <w:rsid w:val="001736C1"/>
    <w:rsid w:val="00173D12"/>
    <w:rsid w:val="00174D55"/>
    <w:rsid w:val="00175FC3"/>
    <w:rsid w:val="00176DCE"/>
    <w:rsid w:val="00177E2B"/>
    <w:rsid w:val="00177EDA"/>
    <w:rsid w:val="001806FB"/>
    <w:rsid w:val="00185DBF"/>
    <w:rsid w:val="00190EA3"/>
    <w:rsid w:val="00191248"/>
    <w:rsid w:val="00192131"/>
    <w:rsid w:val="0019268F"/>
    <w:rsid w:val="00193313"/>
    <w:rsid w:val="001936D9"/>
    <w:rsid w:val="001936FD"/>
    <w:rsid w:val="00194984"/>
    <w:rsid w:val="00195877"/>
    <w:rsid w:val="00196F39"/>
    <w:rsid w:val="001A034F"/>
    <w:rsid w:val="001A1690"/>
    <w:rsid w:val="001A6331"/>
    <w:rsid w:val="001A7700"/>
    <w:rsid w:val="001A7ECE"/>
    <w:rsid w:val="001B06B9"/>
    <w:rsid w:val="001B26AC"/>
    <w:rsid w:val="001B3545"/>
    <w:rsid w:val="001B4EEC"/>
    <w:rsid w:val="001B582B"/>
    <w:rsid w:val="001B63BD"/>
    <w:rsid w:val="001B7A91"/>
    <w:rsid w:val="001B7C92"/>
    <w:rsid w:val="001B7CB9"/>
    <w:rsid w:val="001C144A"/>
    <w:rsid w:val="001C174A"/>
    <w:rsid w:val="001C5348"/>
    <w:rsid w:val="001C5FCD"/>
    <w:rsid w:val="001C73FB"/>
    <w:rsid w:val="001D3D64"/>
    <w:rsid w:val="001D47F7"/>
    <w:rsid w:val="001D49F7"/>
    <w:rsid w:val="001D62F3"/>
    <w:rsid w:val="001E0213"/>
    <w:rsid w:val="001E0364"/>
    <w:rsid w:val="001E0CD8"/>
    <w:rsid w:val="001E27EE"/>
    <w:rsid w:val="001E2B72"/>
    <w:rsid w:val="001E3C11"/>
    <w:rsid w:val="001E559E"/>
    <w:rsid w:val="001E6BCF"/>
    <w:rsid w:val="001F0994"/>
    <w:rsid w:val="001F218F"/>
    <w:rsid w:val="001F3938"/>
    <w:rsid w:val="001F46D9"/>
    <w:rsid w:val="001F4F85"/>
    <w:rsid w:val="001F5C10"/>
    <w:rsid w:val="00200B95"/>
    <w:rsid w:val="00203AC0"/>
    <w:rsid w:val="00204396"/>
    <w:rsid w:val="0020465D"/>
    <w:rsid w:val="00205B72"/>
    <w:rsid w:val="00206AF1"/>
    <w:rsid w:val="00210780"/>
    <w:rsid w:val="00210946"/>
    <w:rsid w:val="00211408"/>
    <w:rsid w:val="00211911"/>
    <w:rsid w:val="00212CFC"/>
    <w:rsid w:val="002141F1"/>
    <w:rsid w:val="0021607E"/>
    <w:rsid w:val="00216F38"/>
    <w:rsid w:val="0022263E"/>
    <w:rsid w:val="0022313E"/>
    <w:rsid w:val="00224684"/>
    <w:rsid w:val="00225AF3"/>
    <w:rsid w:val="0022749D"/>
    <w:rsid w:val="002277F7"/>
    <w:rsid w:val="0023059F"/>
    <w:rsid w:val="00231895"/>
    <w:rsid w:val="00232191"/>
    <w:rsid w:val="00233E0C"/>
    <w:rsid w:val="00233E30"/>
    <w:rsid w:val="002407AA"/>
    <w:rsid w:val="00242288"/>
    <w:rsid w:val="00242B71"/>
    <w:rsid w:val="002470A0"/>
    <w:rsid w:val="00247224"/>
    <w:rsid w:val="002515AD"/>
    <w:rsid w:val="0025200F"/>
    <w:rsid w:val="002533E0"/>
    <w:rsid w:val="002549E3"/>
    <w:rsid w:val="00255D59"/>
    <w:rsid w:val="002600C0"/>
    <w:rsid w:val="002603F3"/>
    <w:rsid w:val="00262C94"/>
    <w:rsid w:val="0026445E"/>
    <w:rsid w:val="00264E73"/>
    <w:rsid w:val="00266129"/>
    <w:rsid w:val="0027081F"/>
    <w:rsid w:val="00271225"/>
    <w:rsid w:val="00273E09"/>
    <w:rsid w:val="002768C5"/>
    <w:rsid w:val="0028089B"/>
    <w:rsid w:val="00281F11"/>
    <w:rsid w:val="00283980"/>
    <w:rsid w:val="00283EA5"/>
    <w:rsid w:val="00285AB1"/>
    <w:rsid w:val="0028736F"/>
    <w:rsid w:val="00287490"/>
    <w:rsid w:val="002876C1"/>
    <w:rsid w:val="00292977"/>
    <w:rsid w:val="00293F07"/>
    <w:rsid w:val="00294751"/>
    <w:rsid w:val="002948CF"/>
    <w:rsid w:val="00294DB0"/>
    <w:rsid w:val="00294FE3"/>
    <w:rsid w:val="00295908"/>
    <w:rsid w:val="002A055D"/>
    <w:rsid w:val="002A0D7C"/>
    <w:rsid w:val="002A0FE1"/>
    <w:rsid w:val="002A116C"/>
    <w:rsid w:val="002A454D"/>
    <w:rsid w:val="002A6526"/>
    <w:rsid w:val="002A7DBB"/>
    <w:rsid w:val="002B21E3"/>
    <w:rsid w:val="002B235C"/>
    <w:rsid w:val="002B33F9"/>
    <w:rsid w:val="002B6038"/>
    <w:rsid w:val="002C1A66"/>
    <w:rsid w:val="002C28A7"/>
    <w:rsid w:val="002C3ECF"/>
    <w:rsid w:val="002C6601"/>
    <w:rsid w:val="002C7A2E"/>
    <w:rsid w:val="002D088D"/>
    <w:rsid w:val="002D107A"/>
    <w:rsid w:val="002D1BDA"/>
    <w:rsid w:val="002D20F5"/>
    <w:rsid w:val="002D2A3D"/>
    <w:rsid w:val="002D366C"/>
    <w:rsid w:val="002D4750"/>
    <w:rsid w:val="002D4F0B"/>
    <w:rsid w:val="002E0CF7"/>
    <w:rsid w:val="002E26F2"/>
    <w:rsid w:val="002E2C67"/>
    <w:rsid w:val="002E3A70"/>
    <w:rsid w:val="002E3DCE"/>
    <w:rsid w:val="002E4EEE"/>
    <w:rsid w:val="002E6EBC"/>
    <w:rsid w:val="002F1A6F"/>
    <w:rsid w:val="002F4AE0"/>
    <w:rsid w:val="002F4C7E"/>
    <w:rsid w:val="002F57DC"/>
    <w:rsid w:val="002F7551"/>
    <w:rsid w:val="0030380E"/>
    <w:rsid w:val="00304842"/>
    <w:rsid w:val="00305B3D"/>
    <w:rsid w:val="00305C11"/>
    <w:rsid w:val="003072A9"/>
    <w:rsid w:val="00311C48"/>
    <w:rsid w:val="003135E9"/>
    <w:rsid w:val="00313834"/>
    <w:rsid w:val="00315478"/>
    <w:rsid w:val="00315A44"/>
    <w:rsid w:val="00316A42"/>
    <w:rsid w:val="00322975"/>
    <w:rsid w:val="00322E32"/>
    <w:rsid w:val="00323188"/>
    <w:rsid w:val="00323320"/>
    <w:rsid w:val="003270E1"/>
    <w:rsid w:val="003272BA"/>
    <w:rsid w:val="00330479"/>
    <w:rsid w:val="00330EA7"/>
    <w:rsid w:val="00331606"/>
    <w:rsid w:val="00331E8A"/>
    <w:rsid w:val="0033218B"/>
    <w:rsid w:val="00333872"/>
    <w:rsid w:val="0033413B"/>
    <w:rsid w:val="00335D34"/>
    <w:rsid w:val="00335FD6"/>
    <w:rsid w:val="00336A32"/>
    <w:rsid w:val="00340B67"/>
    <w:rsid w:val="0034174F"/>
    <w:rsid w:val="00341978"/>
    <w:rsid w:val="003423BE"/>
    <w:rsid w:val="00343A2E"/>
    <w:rsid w:val="00344DE3"/>
    <w:rsid w:val="00345A22"/>
    <w:rsid w:val="0034637C"/>
    <w:rsid w:val="003504A6"/>
    <w:rsid w:val="003509CB"/>
    <w:rsid w:val="00350A9F"/>
    <w:rsid w:val="003527AF"/>
    <w:rsid w:val="003529BD"/>
    <w:rsid w:val="003538D0"/>
    <w:rsid w:val="00354028"/>
    <w:rsid w:val="00355140"/>
    <w:rsid w:val="00356BB8"/>
    <w:rsid w:val="0036030C"/>
    <w:rsid w:val="00360C05"/>
    <w:rsid w:val="0036221E"/>
    <w:rsid w:val="003635D2"/>
    <w:rsid w:val="003656D2"/>
    <w:rsid w:val="00365B9D"/>
    <w:rsid w:val="00366793"/>
    <w:rsid w:val="00367300"/>
    <w:rsid w:val="003673B8"/>
    <w:rsid w:val="00367D38"/>
    <w:rsid w:val="00367EAB"/>
    <w:rsid w:val="00370EC1"/>
    <w:rsid w:val="00373CAD"/>
    <w:rsid w:val="00376795"/>
    <w:rsid w:val="00380EA6"/>
    <w:rsid w:val="0038185E"/>
    <w:rsid w:val="00381B20"/>
    <w:rsid w:val="003826F3"/>
    <w:rsid w:val="00383286"/>
    <w:rsid w:val="003858BF"/>
    <w:rsid w:val="0038785A"/>
    <w:rsid w:val="00391721"/>
    <w:rsid w:val="00391906"/>
    <w:rsid w:val="00392CA5"/>
    <w:rsid w:val="00393A9C"/>
    <w:rsid w:val="0039450C"/>
    <w:rsid w:val="00394526"/>
    <w:rsid w:val="00394682"/>
    <w:rsid w:val="00395154"/>
    <w:rsid w:val="00395448"/>
    <w:rsid w:val="00395744"/>
    <w:rsid w:val="003A1984"/>
    <w:rsid w:val="003A339B"/>
    <w:rsid w:val="003A3929"/>
    <w:rsid w:val="003A528F"/>
    <w:rsid w:val="003A55F2"/>
    <w:rsid w:val="003A5D27"/>
    <w:rsid w:val="003A7CF4"/>
    <w:rsid w:val="003B26D3"/>
    <w:rsid w:val="003B4FFC"/>
    <w:rsid w:val="003B5C0E"/>
    <w:rsid w:val="003B6B07"/>
    <w:rsid w:val="003B6B95"/>
    <w:rsid w:val="003B724F"/>
    <w:rsid w:val="003C018D"/>
    <w:rsid w:val="003C35CD"/>
    <w:rsid w:val="003D2AEF"/>
    <w:rsid w:val="003D2F83"/>
    <w:rsid w:val="003D5ED0"/>
    <w:rsid w:val="003D691C"/>
    <w:rsid w:val="003D6ACC"/>
    <w:rsid w:val="003D784E"/>
    <w:rsid w:val="003E09AF"/>
    <w:rsid w:val="003E0B69"/>
    <w:rsid w:val="003E15F7"/>
    <w:rsid w:val="003E2BE6"/>
    <w:rsid w:val="003E5386"/>
    <w:rsid w:val="003E6770"/>
    <w:rsid w:val="003E7D87"/>
    <w:rsid w:val="003F0C7C"/>
    <w:rsid w:val="003F4561"/>
    <w:rsid w:val="003F4CA9"/>
    <w:rsid w:val="003F61A8"/>
    <w:rsid w:val="003F77D0"/>
    <w:rsid w:val="00401489"/>
    <w:rsid w:val="00402A55"/>
    <w:rsid w:val="00402C03"/>
    <w:rsid w:val="00403454"/>
    <w:rsid w:val="00403EF4"/>
    <w:rsid w:val="00404CFA"/>
    <w:rsid w:val="00404FB5"/>
    <w:rsid w:val="004116B2"/>
    <w:rsid w:val="00411845"/>
    <w:rsid w:val="00411EEB"/>
    <w:rsid w:val="00412B87"/>
    <w:rsid w:val="00414CBC"/>
    <w:rsid w:val="004168F5"/>
    <w:rsid w:val="004169D4"/>
    <w:rsid w:val="00421174"/>
    <w:rsid w:val="00421CF8"/>
    <w:rsid w:val="004233F6"/>
    <w:rsid w:val="0042437F"/>
    <w:rsid w:val="00425364"/>
    <w:rsid w:val="00425855"/>
    <w:rsid w:val="004258C6"/>
    <w:rsid w:val="00430D2E"/>
    <w:rsid w:val="00431634"/>
    <w:rsid w:val="004333B6"/>
    <w:rsid w:val="00434B65"/>
    <w:rsid w:val="00441645"/>
    <w:rsid w:val="00441E26"/>
    <w:rsid w:val="00442D8B"/>
    <w:rsid w:val="00445F58"/>
    <w:rsid w:val="00447598"/>
    <w:rsid w:val="00450445"/>
    <w:rsid w:val="004504A7"/>
    <w:rsid w:val="00452570"/>
    <w:rsid w:val="00454497"/>
    <w:rsid w:val="004549B7"/>
    <w:rsid w:val="004566B4"/>
    <w:rsid w:val="00456F3F"/>
    <w:rsid w:val="00457DB0"/>
    <w:rsid w:val="00460C71"/>
    <w:rsid w:val="00462374"/>
    <w:rsid w:val="00463319"/>
    <w:rsid w:val="00464930"/>
    <w:rsid w:val="00465A47"/>
    <w:rsid w:val="00467932"/>
    <w:rsid w:val="0047039F"/>
    <w:rsid w:val="00470B11"/>
    <w:rsid w:val="004723E3"/>
    <w:rsid w:val="00477515"/>
    <w:rsid w:val="00480605"/>
    <w:rsid w:val="0048172C"/>
    <w:rsid w:val="004821EF"/>
    <w:rsid w:val="004851F0"/>
    <w:rsid w:val="00486030"/>
    <w:rsid w:val="00486CCA"/>
    <w:rsid w:val="00487E00"/>
    <w:rsid w:val="00490020"/>
    <w:rsid w:val="00490E33"/>
    <w:rsid w:val="0049125A"/>
    <w:rsid w:val="004967B8"/>
    <w:rsid w:val="00497485"/>
    <w:rsid w:val="004A3D2C"/>
    <w:rsid w:val="004A5795"/>
    <w:rsid w:val="004A6518"/>
    <w:rsid w:val="004A7FB6"/>
    <w:rsid w:val="004B16C8"/>
    <w:rsid w:val="004B2D18"/>
    <w:rsid w:val="004B2EFB"/>
    <w:rsid w:val="004B4ACD"/>
    <w:rsid w:val="004B6BA9"/>
    <w:rsid w:val="004C30DA"/>
    <w:rsid w:val="004C31DF"/>
    <w:rsid w:val="004C3354"/>
    <w:rsid w:val="004C43E0"/>
    <w:rsid w:val="004C60B5"/>
    <w:rsid w:val="004C7D7E"/>
    <w:rsid w:val="004D0FF2"/>
    <w:rsid w:val="004D2D98"/>
    <w:rsid w:val="004D4A79"/>
    <w:rsid w:val="004D6F49"/>
    <w:rsid w:val="004E1048"/>
    <w:rsid w:val="004E1A9F"/>
    <w:rsid w:val="004E280D"/>
    <w:rsid w:val="004E34B1"/>
    <w:rsid w:val="004E5DAB"/>
    <w:rsid w:val="004F05AB"/>
    <w:rsid w:val="004F2DE0"/>
    <w:rsid w:val="004F343A"/>
    <w:rsid w:val="004F4DA5"/>
    <w:rsid w:val="004F5247"/>
    <w:rsid w:val="004F53EB"/>
    <w:rsid w:val="004F6D38"/>
    <w:rsid w:val="005006E5"/>
    <w:rsid w:val="00502090"/>
    <w:rsid w:val="0050379F"/>
    <w:rsid w:val="00503899"/>
    <w:rsid w:val="0050457E"/>
    <w:rsid w:val="00505B0C"/>
    <w:rsid w:val="00510BEC"/>
    <w:rsid w:val="00510E62"/>
    <w:rsid w:val="005115B8"/>
    <w:rsid w:val="005123FA"/>
    <w:rsid w:val="00512E20"/>
    <w:rsid w:val="00513026"/>
    <w:rsid w:val="005138D0"/>
    <w:rsid w:val="005145B6"/>
    <w:rsid w:val="00517370"/>
    <w:rsid w:val="0052199B"/>
    <w:rsid w:val="0052213D"/>
    <w:rsid w:val="00522BF6"/>
    <w:rsid w:val="00525E12"/>
    <w:rsid w:val="00532AFB"/>
    <w:rsid w:val="00532D33"/>
    <w:rsid w:val="00534FD8"/>
    <w:rsid w:val="0053567C"/>
    <w:rsid w:val="00535D3F"/>
    <w:rsid w:val="00540351"/>
    <w:rsid w:val="005403CB"/>
    <w:rsid w:val="00542C83"/>
    <w:rsid w:val="00543021"/>
    <w:rsid w:val="005436BD"/>
    <w:rsid w:val="005453B9"/>
    <w:rsid w:val="0054541B"/>
    <w:rsid w:val="005464B9"/>
    <w:rsid w:val="0055390D"/>
    <w:rsid w:val="00555105"/>
    <w:rsid w:val="0055569D"/>
    <w:rsid w:val="0055632B"/>
    <w:rsid w:val="0055637F"/>
    <w:rsid w:val="0055778F"/>
    <w:rsid w:val="0056200A"/>
    <w:rsid w:val="0056283F"/>
    <w:rsid w:val="00565885"/>
    <w:rsid w:val="00566A54"/>
    <w:rsid w:val="00567D65"/>
    <w:rsid w:val="0057303E"/>
    <w:rsid w:val="005734A2"/>
    <w:rsid w:val="00576AEC"/>
    <w:rsid w:val="00580855"/>
    <w:rsid w:val="00582B8F"/>
    <w:rsid w:val="00582C67"/>
    <w:rsid w:val="005867E9"/>
    <w:rsid w:val="00587006"/>
    <w:rsid w:val="00587205"/>
    <w:rsid w:val="00587802"/>
    <w:rsid w:val="00587895"/>
    <w:rsid w:val="00587FDD"/>
    <w:rsid w:val="005908CD"/>
    <w:rsid w:val="00593F39"/>
    <w:rsid w:val="00594BDA"/>
    <w:rsid w:val="00595302"/>
    <w:rsid w:val="005979CE"/>
    <w:rsid w:val="005A055F"/>
    <w:rsid w:val="005A07BF"/>
    <w:rsid w:val="005A1301"/>
    <w:rsid w:val="005A1BF4"/>
    <w:rsid w:val="005A2E37"/>
    <w:rsid w:val="005A341E"/>
    <w:rsid w:val="005A3B11"/>
    <w:rsid w:val="005A5260"/>
    <w:rsid w:val="005A612B"/>
    <w:rsid w:val="005A6687"/>
    <w:rsid w:val="005A6C76"/>
    <w:rsid w:val="005A7ABA"/>
    <w:rsid w:val="005A7EF8"/>
    <w:rsid w:val="005B041E"/>
    <w:rsid w:val="005B0685"/>
    <w:rsid w:val="005B1455"/>
    <w:rsid w:val="005B3129"/>
    <w:rsid w:val="005B39B1"/>
    <w:rsid w:val="005B4594"/>
    <w:rsid w:val="005B6D8C"/>
    <w:rsid w:val="005B7182"/>
    <w:rsid w:val="005C1454"/>
    <w:rsid w:val="005C2405"/>
    <w:rsid w:val="005C3F74"/>
    <w:rsid w:val="005C4E4A"/>
    <w:rsid w:val="005C51BF"/>
    <w:rsid w:val="005C5890"/>
    <w:rsid w:val="005C7C8E"/>
    <w:rsid w:val="005D0099"/>
    <w:rsid w:val="005D011E"/>
    <w:rsid w:val="005D041E"/>
    <w:rsid w:val="005D066F"/>
    <w:rsid w:val="005D1A43"/>
    <w:rsid w:val="005D1FDF"/>
    <w:rsid w:val="005D2E83"/>
    <w:rsid w:val="005D2F7E"/>
    <w:rsid w:val="005D3877"/>
    <w:rsid w:val="005D4547"/>
    <w:rsid w:val="005D6A23"/>
    <w:rsid w:val="005E0AE4"/>
    <w:rsid w:val="005E2111"/>
    <w:rsid w:val="005E369C"/>
    <w:rsid w:val="005E4055"/>
    <w:rsid w:val="005E5222"/>
    <w:rsid w:val="005E6570"/>
    <w:rsid w:val="005E6DA0"/>
    <w:rsid w:val="005F24BA"/>
    <w:rsid w:val="005F3FF9"/>
    <w:rsid w:val="005F716E"/>
    <w:rsid w:val="005F7A54"/>
    <w:rsid w:val="006005D6"/>
    <w:rsid w:val="006018D6"/>
    <w:rsid w:val="006024DE"/>
    <w:rsid w:val="00610652"/>
    <w:rsid w:val="00610C1A"/>
    <w:rsid w:val="0061249F"/>
    <w:rsid w:val="0061325B"/>
    <w:rsid w:val="00613561"/>
    <w:rsid w:val="00613E41"/>
    <w:rsid w:val="00624010"/>
    <w:rsid w:val="006250C3"/>
    <w:rsid w:val="00625313"/>
    <w:rsid w:val="00627550"/>
    <w:rsid w:val="0063178A"/>
    <w:rsid w:val="00631937"/>
    <w:rsid w:val="00631EC9"/>
    <w:rsid w:val="00632713"/>
    <w:rsid w:val="00633CED"/>
    <w:rsid w:val="0063416F"/>
    <w:rsid w:val="006365BA"/>
    <w:rsid w:val="00637859"/>
    <w:rsid w:val="0064354D"/>
    <w:rsid w:val="006440DD"/>
    <w:rsid w:val="00644868"/>
    <w:rsid w:val="00646958"/>
    <w:rsid w:val="00652AB7"/>
    <w:rsid w:val="00653206"/>
    <w:rsid w:val="006533D1"/>
    <w:rsid w:val="0065704E"/>
    <w:rsid w:val="00657663"/>
    <w:rsid w:val="00657E8C"/>
    <w:rsid w:val="006618AC"/>
    <w:rsid w:val="00662079"/>
    <w:rsid w:val="00662A27"/>
    <w:rsid w:val="00663246"/>
    <w:rsid w:val="0066340F"/>
    <w:rsid w:val="00663F92"/>
    <w:rsid w:val="00665E05"/>
    <w:rsid w:val="006672C6"/>
    <w:rsid w:val="0067081C"/>
    <w:rsid w:val="00670E42"/>
    <w:rsid w:val="00671E21"/>
    <w:rsid w:val="00672BB7"/>
    <w:rsid w:val="00675BFF"/>
    <w:rsid w:val="00676DE1"/>
    <w:rsid w:val="00677093"/>
    <w:rsid w:val="00677421"/>
    <w:rsid w:val="00677899"/>
    <w:rsid w:val="00683B00"/>
    <w:rsid w:val="006849A4"/>
    <w:rsid w:val="006873E9"/>
    <w:rsid w:val="00694A1C"/>
    <w:rsid w:val="00694E42"/>
    <w:rsid w:val="006A0E87"/>
    <w:rsid w:val="006A1A8C"/>
    <w:rsid w:val="006A3F79"/>
    <w:rsid w:val="006A419C"/>
    <w:rsid w:val="006A4F82"/>
    <w:rsid w:val="006A6F50"/>
    <w:rsid w:val="006B11FD"/>
    <w:rsid w:val="006B18EE"/>
    <w:rsid w:val="006B7811"/>
    <w:rsid w:val="006B7FD9"/>
    <w:rsid w:val="006C15EE"/>
    <w:rsid w:val="006C2005"/>
    <w:rsid w:val="006C2064"/>
    <w:rsid w:val="006C25F2"/>
    <w:rsid w:val="006C2B59"/>
    <w:rsid w:val="006C3F4A"/>
    <w:rsid w:val="006C7817"/>
    <w:rsid w:val="006D3E68"/>
    <w:rsid w:val="006D43FC"/>
    <w:rsid w:val="006D5F12"/>
    <w:rsid w:val="006E0AB3"/>
    <w:rsid w:val="006E22C9"/>
    <w:rsid w:val="006E264F"/>
    <w:rsid w:val="006E384C"/>
    <w:rsid w:val="006E41D1"/>
    <w:rsid w:val="006E45A2"/>
    <w:rsid w:val="006E5544"/>
    <w:rsid w:val="006E7715"/>
    <w:rsid w:val="006F0EDB"/>
    <w:rsid w:val="006F14B2"/>
    <w:rsid w:val="006F2AD4"/>
    <w:rsid w:val="006F38EC"/>
    <w:rsid w:val="006F57C0"/>
    <w:rsid w:val="006F7A74"/>
    <w:rsid w:val="00703812"/>
    <w:rsid w:val="00704DE4"/>
    <w:rsid w:val="007071CA"/>
    <w:rsid w:val="00707CA8"/>
    <w:rsid w:val="00707FFB"/>
    <w:rsid w:val="00710AA5"/>
    <w:rsid w:val="0071205D"/>
    <w:rsid w:val="0071289C"/>
    <w:rsid w:val="00713841"/>
    <w:rsid w:val="00715087"/>
    <w:rsid w:val="00720A39"/>
    <w:rsid w:val="00720E3F"/>
    <w:rsid w:val="007302DD"/>
    <w:rsid w:val="00732498"/>
    <w:rsid w:val="00732AFF"/>
    <w:rsid w:val="00733807"/>
    <w:rsid w:val="0073652F"/>
    <w:rsid w:val="00736832"/>
    <w:rsid w:val="00740002"/>
    <w:rsid w:val="00740BC3"/>
    <w:rsid w:val="007425C2"/>
    <w:rsid w:val="00742798"/>
    <w:rsid w:val="00743D59"/>
    <w:rsid w:val="00744B57"/>
    <w:rsid w:val="00744F9F"/>
    <w:rsid w:val="00745364"/>
    <w:rsid w:val="00745502"/>
    <w:rsid w:val="00745AC4"/>
    <w:rsid w:val="00752315"/>
    <w:rsid w:val="007549F7"/>
    <w:rsid w:val="007554F7"/>
    <w:rsid w:val="0075577C"/>
    <w:rsid w:val="007559EB"/>
    <w:rsid w:val="007564EE"/>
    <w:rsid w:val="007566A9"/>
    <w:rsid w:val="0076031B"/>
    <w:rsid w:val="00760A9D"/>
    <w:rsid w:val="0076274D"/>
    <w:rsid w:val="00763A18"/>
    <w:rsid w:val="00763F32"/>
    <w:rsid w:val="0076401B"/>
    <w:rsid w:val="007648B6"/>
    <w:rsid w:val="00765225"/>
    <w:rsid w:val="00767025"/>
    <w:rsid w:val="00771258"/>
    <w:rsid w:val="00771928"/>
    <w:rsid w:val="007729C7"/>
    <w:rsid w:val="007734EA"/>
    <w:rsid w:val="00773C75"/>
    <w:rsid w:val="007755A8"/>
    <w:rsid w:val="00777039"/>
    <w:rsid w:val="00777155"/>
    <w:rsid w:val="00777272"/>
    <w:rsid w:val="00777525"/>
    <w:rsid w:val="00781065"/>
    <w:rsid w:val="00783806"/>
    <w:rsid w:val="00783DD8"/>
    <w:rsid w:val="0078480D"/>
    <w:rsid w:val="00785459"/>
    <w:rsid w:val="0078625F"/>
    <w:rsid w:val="00787079"/>
    <w:rsid w:val="007939B7"/>
    <w:rsid w:val="007947A0"/>
    <w:rsid w:val="00794AC0"/>
    <w:rsid w:val="00796254"/>
    <w:rsid w:val="00796E9E"/>
    <w:rsid w:val="00797740"/>
    <w:rsid w:val="00797AF5"/>
    <w:rsid w:val="00797BC2"/>
    <w:rsid w:val="007A138A"/>
    <w:rsid w:val="007A3B1E"/>
    <w:rsid w:val="007A42E8"/>
    <w:rsid w:val="007A6675"/>
    <w:rsid w:val="007A694D"/>
    <w:rsid w:val="007A7EDF"/>
    <w:rsid w:val="007B2C1A"/>
    <w:rsid w:val="007B2FC1"/>
    <w:rsid w:val="007B390B"/>
    <w:rsid w:val="007B3C4B"/>
    <w:rsid w:val="007B4C98"/>
    <w:rsid w:val="007B5269"/>
    <w:rsid w:val="007B557D"/>
    <w:rsid w:val="007B77F2"/>
    <w:rsid w:val="007C0491"/>
    <w:rsid w:val="007C1150"/>
    <w:rsid w:val="007C15D1"/>
    <w:rsid w:val="007C1999"/>
    <w:rsid w:val="007C2D9F"/>
    <w:rsid w:val="007C2E0E"/>
    <w:rsid w:val="007C3B18"/>
    <w:rsid w:val="007C3F74"/>
    <w:rsid w:val="007C4802"/>
    <w:rsid w:val="007C6CB0"/>
    <w:rsid w:val="007D0986"/>
    <w:rsid w:val="007D147A"/>
    <w:rsid w:val="007D4250"/>
    <w:rsid w:val="007D5860"/>
    <w:rsid w:val="007E1ADC"/>
    <w:rsid w:val="007E2004"/>
    <w:rsid w:val="007E23A6"/>
    <w:rsid w:val="007E371F"/>
    <w:rsid w:val="007E545E"/>
    <w:rsid w:val="007E76EB"/>
    <w:rsid w:val="007F09BA"/>
    <w:rsid w:val="007F1973"/>
    <w:rsid w:val="007F409A"/>
    <w:rsid w:val="007F4616"/>
    <w:rsid w:val="007F56D2"/>
    <w:rsid w:val="007F5B57"/>
    <w:rsid w:val="007F6240"/>
    <w:rsid w:val="0080014B"/>
    <w:rsid w:val="0080064D"/>
    <w:rsid w:val="00800DD6"/>
    <w:rsid w:val="008017D0"/>
    <w:rsid w:val="008031AE"/>
    <w:rsid w:val="00804D9B"/>
    <w:rsid w:val="00805C68"/>
    <w:rsid w:val="00805EC6"/>
    <w:rsid w:val="00807733"/>
    <w:rsid w:val="008112C6"/>
    <w:rsid w:val="00812CAE"/>
    <w:rsid w:val="00814498"/>
    <w:rsid w:val="0081462B"/>
    <w:rsid w:val="00815BD1"/>
    <w:rsid w:val="00815F97"/>
    <w:rsid w:val="008161DE"/>
    <w:rsid w:val="00816C52"/>
    <w:rsid w:val="0082065C"/>
    <w:rsid w:val="008264E2"/>
    <w:rsid w:val="00827AA0"/>
    <w:rsid w:val="00831ACD"/>
    <w:rsid w:val="00832DC7"/>
    <w:rsid w:val="0083388A"/>
    <w:rsid w:val="00835658"/>
    <w:rsid w:val="00835F9F"/>
    <w:rsid w:val="0083739A"/>
    <w:rsid w:val="0083779D"/>
    <w:rsid w:val="00837839"/>
    <w:rsid w:val="00840016"/>
    <w:rsid w:val="00840D6D"/>
    <w:rsid w:val="00841864"/>
    <w:rsid w:val="008432D2"/>
    <w:rsid w:val="00843F36"/>
    <w:rsid w:val="0084491F"/>
    <w:rsid w:val="00847BCB"/>
    <w:rsid w:val="00847C88"/>
    <w:rsid w:val="00847FC2"/>
    <w:rsid w:val="00852326"/>
    <w:rsid w:val="008528AF"/>
    <w:rsid w:val="00854603"/>
    <w:rsid w:val="00854C2D"/>
    <w:rsid w:val="0085550C"/>
    <w:rsid w:val="00861DC6"/>
    <w:rsid w:val="00862562"/>
    <w:rsid w:val="00862EB3"/>
    <w:rsid w:val="00862F04"/>
    <w:rsid w:val="00865590"/>
    <w:rsid w:val="0086580C"/>
    <w:rsid w:val="00865A56"/>
    <w:rsid w:val="00866326"/>
    <w:rsid w:val="00866C61"/>
    <w:rsid w:val="00867F31"/>
    <w:rsid w:val="00870624"/>
    <w:rsid w:val="0087186B"/>
    <w:rsid w:val="008722A2"/>
    <w:rsid w:val="0087296B"/>
    <w:rsid w:val="0087344F"/>
    <w:rsid w:val="008735C3"/>
    <w:rsid w:val="008746F6"/>
    <w:rsid w:val="00874ED5"/>
    <w:rsid w:val="008758C2"/>
    <w:rsid w:val="00877973"/>
    <w:rsid w:val="00881256"/>
    <w:rsid w:val="0088204B"/>
    <w:rsid w:val="008821E1"/>
    <w:rsid w:val="0088280F"/>
    <w:rsid w:val="00882B5F"/>
    <w:rsid w:val="008852A6"/>
    <w:rsid w:val="0089099D"/>
    <w:rsid w:val="00894FD1"/>
    <w:rsid w:val="00895F17"/>
    <w:rsid w:val="008960DE"/>
    <w:rsid w:val="008A0118"/>
    <w:rsid w:val="008A16B0"/>
    <w:rsid w:val="008A1B5C"/>
    <w:rsid w:val="008A5383"/>
    <w:rsid w:val="008A6896"/>
    <w:rsid w:val="008A719D"/>
    <w:rsid w:val="008B09ED"/>
    <w:rsid w:val="008B1F89"/>
    <w:rsid w:val="008B3A33"/>
    <w:rsid w:val="008B4B78"/>
    <w:rsid w:val="008C1161"/>
    <w:rsid w:val="008C1389"/>
    <w:rsid w:val="008C3451"/>
    <w:rsid w:val="008C46B4"/>
    <w:rsid w:val="008C47D5"/>
    <w:rsid w:val="008C496D"/>
    <w:rsid w:val="008C5D4B"/>
    <w:rsid w:val="008C7ACB"/>
    <w:rsid w:val="008D3546"/>
    <w:rsid w:val="008D4EE7"/>
    <w:rsid w:val="008D6C2F"/>
    <w:rsid w:val="008D6F02"/>
    <w:rsid w:val="008D7486"/>
    <w:rsid w:val="008E01A9"/>
    <w:rsid w:val="008E087F"/>
    <w:rsid w:val="008E1BA1"/>
    <w:rsid w:val="008E30E6"/>
    <w:rsid w:val="008E46E2"/>
    <w:rsid w:val="008E6AC0"/>
    <w:rsid w:val="008F0AB8"/>
    <w:rsid w:val="008F11AD"/>
    <w:rsid w:val="008F22AC"/>
    <w:rsid w:val="008F3BA1"/>
    <w:rsid w:val="008F4892"/>
    <w:rsid w:val="008F5A97"/>
    <w:rsid w:val="008F6D0C"/>
    <w:rsid w:val="008F730E"/>
    <w:rsid w:val="008F7F41"/>
    <w:rsid w:val="00900C01"/>
    <w:rsid w:val="00901227"/>
    <w:rsid w:val="00901384"/>
    <w:rsid w:val="00902332"/>
    <w:rsid w:val="0090279F"/>
    <w:rsid w:val="00902B7E"/>
    <w:rsid w:val="009030F6"/>
    <w:rsid w:val="009038E8"/>
    <w:rsid w:val="00910B22"/>
    <w:rsid w:val="00914F4A"/>
    <w:rsid w:val="00915BAC"/>
    <w:rsid w:val="00920199"/>
    <w:rsid w:val="009213B8"/>
    <w:rsid w:val="0092281A"/>
    <w:rsid w:val="00923011"/>
    <w:rsid w:val="009249FE"/>
    <w:rsid w:val="00924AD4"/>
    <w:rsid w:val="00926657"/>
    <w:rsid w:val="00926F43"/>
    <w:rsid w:val="0092752F"/>
    <w:rsid w:val="0092790E"/>
    <w:rsid w:val="00937F75"/>
    <w:rsid w:val="009419A2"/>
    <w:rsid w:val="00941EBA"/>
    <w:rsid w:val="00942FEA"/>
    <w:rsid w:val="00943EE5"/>
    <w:rsid w:val="00944894"/>
    <w:rsid w:val="00954631"/>
    <w:rsid w:val="00956572"/>
    <w:rsid w:val="00956E44"/>
    <w:rsid w:val="0096166B"/>
    <w:rsid w:val="009643D2"/>
    <w:rsid w:val="00964B51"/>
    <w:rsid w:val="009656A5"/>
    <w:rsid w:val="00965DDF"/>
    <w:rsid w:val="00966161"/>
    <w:rsid w:val="00971052"/>
    <w:rsid w:val="00971A97"/>
    <w:rsid w:val="00972248"/>
    <w:rsid w:val="00972BD7"/>
    <w:rsid w:val="00973859"/>
    <w:rsid w:val="00973F8F"/>
    <w:rsid w:val="00975C81"/>
    <w:rsid w:val="00980D55"/>
    <w:rsid w:val="009813A1"/>
    <w:rsid w:val="00983696"/>
    <w:rsid w:val="009836BD"/>
    <w:rsid w:val="00985275"/>
    <w:rsid w:val="009862C4"/>
    <w:rsid w:val="009A0F8C"/>
    <w:rsid w:val="009A2789"/>
    <w:rsid w:val="009A41AD"/>
    <w:rsid w:val="009A450F"/>
    <w:rsid w:val="009A4E2B"/>
    <w:rsid w:val="009A7542"/>
    <w:rsid w:val="009A79A7"/>
    <w:rsid w:val="009B014E"/>
    <w:rsid w:val="009B1081"/>
    <w:rsid w:val="009B1818"/>
    <w:rsid w:val="009B306E"/>
    <w:rsid w:val="009B3171"/>
    <w:rsid w:val="009B3748"/>
    <w:rsid w:val="009B4195"/>
    <w:rsid w:val="009B4BFB"/>
    <w:rsid w:val="009C0799"/>
    <w:rsid w:val="009C2478"/>
    <w:rsid w:val="009C476C"/>
    <w:rsid w:val="009C63A5"/>
    <w:rsid w:val="009C6E59"/>
    <w:rsid w:val="009D0C1E"/>
    <w:rsid w:val="009D2DEA"/>
    <w:rsid w:val="009D31F8"/>
    <w:rsid w:val="009D3335"/>
    <w:rsid w:val="009D4ACE"/>
    <w:rsid w:val="009D5D0C"/>
    <w:rsid w:val="009D6283"/>
    <w:rsid w:val="009E0D21"/>
    <w:rsid w:val="009E3238"/>
    <w:rsid w:val="009E3868"/>
    <w:rsid w:val="009E41E0"/>
    <w:rsid w:val="009E5178"/>
    <w:rsid w:val="009E5AC5"/>
    <w:rsid w:val="009F01DD"/>
    <w:rsid w:val="009F1B16"/>
    <w:rsid w:val="009F2F3D"/>
    <w:rsid w:val="009F3E2B"/>
    <w:rsid w:val="009F42E0"/>
    <w:rsid w:val="009F4886"/>
    <w:rsid w:val="009F4CFB"/>
    <w:rsid w:val="009F56EB"/>
    <w:rsid w:val="009F591D"/>
    <w:rsid w:val="009F5DFE"/>
    <w:rsid w:val="00A012BA"/>
    <w:rsid w:val="00A015BB"/>
    <w:rsid w:val="00A02317"/>
    <w:rsid w:val="00A03922"/>
    <w:rsid w:val="00A04C24"/>
    <w:rsid w:val="00A054C3"/>
    <w:rsid w:val="00A064AC"/>
    <w:rsid w:val="00A06A26"/>
    <w:rsid w:val="00A07A0C"/>
    <w:rsid w:val="00A07A3F"/>
    <w:rsid w:val="00A07AF4"/>
    <w:rsid w:val="00A07E57"/>
    <w:rsid w:val="00A1348D"/>
    <w:rsid w:val="00A16A3F"/>
    <w:rsid w:val="00A17468"/>
    <w:rsid w:val="00A21FAF"/>
    <w:rsid w:val="00A2502C"/>
    <w:rsid w:val="00A255E9"/>
    <w:rsid w:val="00A271C6"/>
    <w:rsid w:val="00A30E12"/>
    <w:rsid w:val="00A3104E"/>
    <w:rsid w:val="00A337A9"/>
    <w:rsid w:val="00A34C86"/>
    <w:rsid w:val="00A352BC"/>
    <w:rsid w:val="00A364D3"/>
    <w:rsid w:val="00A377BD"/>
    <w:rsid w:val="00A401F1"/>
    <w:rsid w:val="00A4190D"/>
    <w:rsid w:val="00A41A93"/>
    <w:rsid w:val="00A44050"/>
    <w:rsid w:val="00A51BC6"/>
    <w:rsid w:val="00A574C4"/>
    <w:rsid w:val="00A60DDD"/>
    <w:rsid w:val="00A618ED"/>
    <w:rsid w:val="00A62AFC"/>
    <w:rsid w:val="00A633BF"/>
    <w:rsid w:val="00A63A5C"/>
    <w:rsid w:val="00A6621B"/>
    <w:rsid w:val="00A66F0E"/>
    <w:rsid w:val="00A67078"/>
    <w:rsid w:val="00A670B4"/>
    <w:rsid w:val="00A7112C"/>
    <w:rsid w:val="00A72C46"/>
    <w:rsid w:val="00A73F57"/>
    <w:rsid w:val="00A74AB8"/>
    <w:rsid w:val="00A754FC"/>
    <w:rsid w:val="00A763EE"/>
    <w:rsid w:val="00A7726A"/>
    <w:rsid w:val="00A807BC"/>
    <w:rsid w:val="00A80A8D"/>
    <w:rsid w:val="00A83E06"/>
    <w:rsid w:val="00A929B6"/>
    <w:rsid w:val="00A92FED"/>
    <w:rsid w:val="00A95829"/>
    <w:rsid w:val="00A960F5"/>
    <w:rsid w:val="00AA05E1"/>
    <w:rsid w:val="00AA17C2"/>
    <w:rsid w:val="00AA4D14"/>
    <w:rsid w:val="00AA6814"/>
    <w:rsid w:val="00AA6D2B"/>
    <w:rsid w:val="00AA7718"/>
    <w:rsid w:val="00AB06E9"/>
    <w:rsid w:val="00AB0CE8"/>
    <w:rsid w:val="00AB40BC"/>
    <w:rsid w:val="00AB4662"/>
    <w:rsid w:val="00AB59FC"/>
    <w:rsid w:val="00AB6958"/>
    <w:rsid w:val="00AB6FA8"/>
    <w:rsid w:val="00AB70EC"/>
    <w:rsid w:val="00AB7560"/>
    <w:rsid w:val="00AC2249"/>
    <w:rsid w:val="00AC2C61"/>
    <w:rsid w:val="00AC3219"/>
    <w:rsid w:val="00AC4282"/>
    <w:rsid w:val="00AC60CB"/>
    <w:rsid w:val="00AD0D34"/>
    <w:rsid w:val="00AD2107"/>
    <w:rsid w:val="00AD3AFE"/>
    <w:rsid w:val="00AD6BB8"/>
    <w:rsid w:val="00AD6D25"/>
    <w:rsid w:val="00AD6D64"/>
    <w:rsid w:val="00AE10F4"/>
    <w:rsid w:val="00AE1569"/>
    <w:rsid w:val="00AE18DD"/>
    <w:rsid w:val="00AE34A0"/>
    <w:rsid w:val="00AE3589"/>
    <w:rsid w:val="00AE448F"/>
    <w:rsid w:val="00AE4FDF"/>
    <w:rsid w:val="00AE5EAF"/>
    <w:rsid w:val="00AE6012"/>
    <w:rsid w:val="00AF02C5"/>
    <w:rsid w:val="00AF0979"/>
    <w:rsid w:val="00AF0ACE"/>
    <w:rsid w:val="00AF14CF"/>
    <w:rsid w:val="00AF2E45"/>
    <w:rsid w:val="00AF4C7C"/>
    <w:rsid w:val="00AF56C8"/>
    <w:rsid w:val="00AF6D64"/>
    <w:rsid w:val="00AF703A"/>
    <w:rsid w:val="00AF72C1"/>
    <w:rsid w:val="00B00E5C"/>
    <w:rsid w:val="00B00F66"/>
    <w:rsid w:val="00B0144B"/>
    <w:rsid w:val="00B01A79"/>
    <w:rsid w:val="00B04EE5"/>
    <w:rsid w:val="00B05048"/>
    <w:rsid w:val="00B05524"/>
    <w:rsid w:val="00B0653F"/>
    <w:rsid w:val="00B06B2C"/>
    <w:rsid w:val="00B11829"/>
    <w:rsid w:val="00B12A90"/>
    <w:rsid w:val="00B1670A"/>
    <w:rsid w:val="00B179F1"/>
    <w:rsid w:val="00B210E8"/>
    <w:rsid w:val="00B211A5"/>
    <w:rsid w:val="00B23AE6"/>
    <w:rsid w:val="00B2432F"/>
    <w:rsid w:val="00B26395"/>
    <w:rsid w:val="00B2791D"/>
    <w:rsid w:val="00B30442"/>
    <w:rsid w:val="00B31363"/>
    <w:rsid w:val="00B32DFF"/>
    <w:rsid w:val="00B33081"/>
    <w:rsid w:val="00B339DC"/>
    <w:rsid w:val="00B35391"/>
    <w:rsid w:val="00B35BCA"/>
    <w:rsid w:val="00B37DB8"/>
    <w:rsid w:val="00B40AF2"/>
    <w:rsid w:val="00B45488"/>
    <w:rsid w:val="00B47B1D"/>
    <w:rsid w:val="00B50E01"/>
    <w:rsid w:val="00B52D7B"/>
    <w:rsid w:val="00B53882"/>
    <w:rsid w:val="00B53F64"/>
    <w:rsid w:val="00B54CF9"/>
    <w:rsid w:val="00B55C2F"/>
    <w:rsid w:val="00B60336"/>
    <w:rsid w:val="00B614A5"/>
    <w:rsid w:val="00B6163E"/>
    <w:rsid w:val="00B70218"/>
    <w:rsid w:val="00B70CBE"/>
    <w:rsid w:val="00B7157D"/>
    <w:rsid w:val="00B73CC1"/>
    <w:rsid w:val="00B74D35"/>
    <w:rsid w:val="00B758E0"/>
    <w:rsid w:val="00B77AF6"/>
    <w:rsid w:val="00B803BF"/>
    <w:rsid w:val="00B815D2"/>
    <w:rsid w:val="00B85FEC"/>
    <w:rsid w:val="00B86157"/>
    <w:rsid w:val="00B87BDB"/>
    <w:rsid w:val="00B9241D"/>
    <w:rsid w:val="00B92E0D"/>
    <w:rsid w:val="00B95264"/>
    <w:rsid w:val="00B96275"/>
    <w:rsid w:val="00B964AC"/>
    <w:rsid w:val="00B9677C"/>
    <w:rsid w:val="00B9738F"/>
    <w:rsid w:val="00BA0A78"/>
    <w:rsid w:val="00BA2A1A"/>
    <w:rsid w:val="00BA3044"/>
    <w:rsid w:val="00BB0C68"/>
    <w:rsid w:val="00BB32CA"/>
    <w:rsid w:val="00BB3B38"/>
    <w:rsid w:val="00BB4574"/>
    <w:rsid w:val="00BB4894"/>
    <w:rsid w:val="00BB762A"/>
    <w:rsid w:val="00BC1B69"/>
    <w:rsid w:val="00BC47EE"/>
    <w:rsid w:val="00BC4829"/>
    <w:rsid w:val="00BC6EB3"/>
    <w:rsid w:val="00BC77A2"/>
    <w:rsid w:val="00BD0299"/>
    <w:rsid w:val="00BD059C"/>
    <w:rsid w:val="00BD0FB0"/>
    <w:rsid w:val="00BD21ED"/>
    <w:rsid w:val="00BD23E3"/>
    <w:rsid w:val="00BD351E"/>
    <w:rsid w:val="00BD3ED7"/>
    <w:rsid w:val="00BD4091"/>
    <w:rsid w:val="00BE020C"/>
    <w:rsid w:val="00BE10EE"/>
    <w:rsid w:val="00BE186F"/>
    <w:rsid w:val="00BE1F2C"/>
    <w:rsid w:val="00BE3B79"/>
    <w:rsid w:val="00BE50EE"/>
    <w:rsid w:val="00BE6DDF"/>
    <w:rsid w:val="00BF0691"/>
    <w:rsid w:val="00BF2133"/>
    <w:rsid w:val="00BF4ABC"/>
    <w:rsid w:val="00BF5059"/>
    <w:rsid w:val="00BF7121"/>
    <w:rsid w:val="00BF7364"/>
    <w:rsid w:val="00BF7725"/>
    <w:rsid w:val="00BF7E36"/>
    <w:rsid w:val="00C03007"/>
    <w:rsid w:val="00C039D6"/>
    <w:rsid w:val="00C04968"/>
    <w:rsid w:val="00C112FE"/>
    <w:rsid w:val="00C16529"/>
    <w:rsid w:val="00C17D2F"/>
    <w:rsid w:val="00C20077"/>
    <w:rsid w:val="00C21598"/>
    <w:rsid w:val="00C21C34"/>
    <w:rsid w:val="00C25C70"/>
    <w:rsid w:val="00C26668"/>
    <w:rsid w:val="00C26E53"/>
    <w:rsid w:val="00C27450"/>
    <w:rsid w:val="00C30A79"/>
    <w:rsid w:val="00C33ED4"/>
    <w:rsid w:val="00C34234"/>
    <w:rsid w:val="00C35165"/>
    <w:rsid w:val="00C358D6"/>
    <w:rsid w:val="00C361C2"/>
    <w:rsid w:val="00C3663D"/>
    <w:rsid w:val="00C36E4E"/>
    <w:rsid w:val="00C440B9"/>
    <w:rsid w:val="00C45356"/>
    <w:rsid w:val="00C4652E"/>
    <w:rsid w:val="00C52562"/>
    <w:rsid w:val="00C5367E"/>
    <w:rsid w:val="00C5463F"/>
    <w:rsid w:val="00C557F4"/>
    <w:rsid w:val="00C6371B"/>
    <w:rsid w:val="00C63750"/>
    <w:rsid w:val="00C63C91"/>
    <w:rsid w:val="00C65EC2"/>
    <w:rsid w:val="00C67C3F"/>
    <w:rsid w:val="00C7042A"/>
    <w:rsid w:val="00C715EE"/>
    <w:rsid w:val="00C72BAD"/>
    <w:rsid w:val="00C74B84"/>
    <w:rsid w:val="00C76DCC"/>
    <w:rsid w:val="00C77BF1"/>
    <w:rsid w:val="00C818FE"/>
    <w:rsid w:val="00C81E19"/>
    <w:rsid w:val="00C81FCE"/>
    <w:rsid w:val="00C8519B"/>
    <w:rsid w:val="00C8717E"/>
    <w:rsid w:val="00C879A9"/>
    <w:rsid w:val="00C91578"/>
    <w:rsid w:val="00C9288B"/>
    <w:rsid w:val="00C92C20"/>
    <w:rsid w:val="00C9305A"/>
    <w:rsid w:val="00C946D4"/>
    <w:rsid w:val="00C94843"/>
    <w:rsid w:val="00C97F93"/>
    <w:rsid w:val="00CA0C96"/>
    <w:rsid w:val="00CA1E3F"/>
    <w:rsid w:val="00CA5AAC"/>
    <w:rsid w:val="00CB2A78"/>
    <w:rsid w:val="00CB2F41"/>
    <w:rsid w:val="00CB3192"/>
    <w:rsid w:val="00CB3504"/>
    <w:rsid w:val="00CB3BEA"/>
    <w:rsid w:val="00CB6E2B"/>
    <w:rsid w:val="00CC0A9B"/>
    <w:rsid w:val="00CC0D1A"/>
    <w:rsid w:val="00CC0FC7"/>
    <w:rsid w:val="00CC2404"/>
    <w:rsid w:val="00CC6D85"/>
    <w:rsid w:val="00CC7B2B"/>
    <w:rsid w:val="00CD00AD"/>
    <w:rsid w:val="00CD56F1"/>
    <w:rsid w:val="00CD5A2B"/>
    <w:rsid w:val="00CD626A"/>
    <w:rsid w:val="00CD6BC2"/>
    <w:rsid w:val="00CD7D46"/>
    <w:rsid w:val="00CE2539"/>
    <w:rsid w:val="00CE39B2"/>
    <w:rsid w:val="00CE3D90"/>
    <w:rsid w:val="00CE65D3"/>
    <w:rsid w:val="00CE67F9"/>
    <w:rsid w:val="00CE6DEC"/>
    <w:rsid w:val="00CF0152"/>
    <w:rsid w:val="00CF0BA4"/>
    <w:rsid w:val="00CF1488"/>
    <w:rsid w:val="00CF1967"/>
    <w:rsid w:val="00D0335E"/>
    <w:rsid w:val="00D046EE"/>
    <w:rsid w:val="00D12053"/>
    <w:rsid w:val="00D12290"/>
    <w:rsid w:val="00D13EAC"/>
    <w:rsid w:val="00D141AD"/>
    <w:rsid w:val="00D154CE"/>
    <w:rsid w:val="00D17EFE"/>
    <w:rsid w:val="00D20500"/>
    <w:rsid w:val="00D2281D"/>
    <w:rsid w:val="00D22E0E"/>
    <w:rsid w:val="00D23921"/>
    <w:rsid w:val="00D25D7F"/>
    <w:rsid w:val="00D3014C"/>
    <w:rsid w:val="00D304B8"/>
    <w:rsid w:val="00D31E3B"/>
    <w:rsid w:val="00D31FCE"/>
    <w:rsid w:val="00D32997"/>
    <w:rsid w:val="00D33CAB"/>
    <w:rsid w:val="00D33CE4"/>
    <w:rsid w:val="00D34B75"/>
    <w:rsid w:val="00D365CE"/>
    <w:rsid w:val="00D41DDB"/>
    <w:rsid w:val="00D41EFC"/>
    <w:rsid w:val="00D4763E"/>
    <w:rsid w:val="00D50E49"/>
    <w:rsid w:val="00D51721"/>
    <w:rsid w:val="00D55357"/>
    <w:rsid w:val="00D56623"/>
    <w:rsid w:val="00D600DB"/>
    <w:rsid w:val="00D6031B"/>
    <w:rsid w:val="00D61454"/>
    <w:rsid w:val="00D61738"/>
    <w:rsid w:val="00D62BA6"/>
    <w:rsid w:val="00D630D3"/>
    <w:rsid w:val="00D6614E"/>
    <w:rsid w:val="00D7055C"/>
    <w:rsid w:val="00D715BF"/>
    <w:rsid w:val="00D7309B"/>
    <w:rsid w:val="00D7467B"/>
    <w:rsid w:val="00D759BA"/>
    <w:rsid w:val="00D808DB"/>
    <w:rsid w:val="00D8143A"/>
    <w:rsid w:val="00D82A60"/>
    <w:rsid w:val="00D8409E"/>
    <w:rsid w:val="00D85698"/>
    <w:rsid w:val="00D8576F"/>
    <w:rsid w:val="00D86B55"/>
    <w:rsid w:val="00D8799A"/>
    <w:rsid w:val="00D905E3"/>
    <w:rsid w:val="00D90782"/>
    <w:rsid w:val="00D91061"/>
    <w:rsid w:val="00D91A97"/>
    <w:rsid w:val="00D92FBB"/>
    <w:rsid w:val="00D93223"/>
    <w:rsid w:val="00D93677"/>
    <w:rsid w:val="00D94C15"/>
    <w:rsid w:val="00D95D84"/>
    <w:rsid w:val="00D96FB2"/>
    <w:rsid w:val="00D97B08"/>
    <w:rsid w:val="00DA0934"/>
    <w:rsid w:val="00DA0C1A"/>
    <w:rsid w:val="00DA150D"/>
    <w:rsid w:val="00DA33D4"/>
    <w:rsid w:val="00DA3439"/>
    <w:rsid w:val="00DA5796"/>
    <w:rsid w:val="00DA62EB"/>
    <w:rsid w:val="00DA781F"/>
    <w:rsid w:val="00DA7E08"/>
    <w:rsid w:val="00DA7F03"/>
    <w:rsid w:val="00DB043A"/>
    <w:rsid w:val="00DB0CD0"/>
    <w:rsid w:val="00DB3903"/>
    <w:rsid w:val="00DB5330"/>
    <w:rsid w:val="00DB6C79"/>
    <w:rsid w:val="00DB7C12"/>
    <w:rsid w:val="00DC06F4"/>
    <w:rsid w:val="00DC0C7D"/>
    <w:rsid w:val="00DC5DA5"/>
    <w:rsid w:val="00DD062E"/>
    <w:rsid w:val="00DD4CB5"/>
    <w:rsid w:val="00DD5912"/>
    <w:rsid w:val="00DD63B4"/>
    <w:rsid w:val="00DD695E"/>
    <w:rsid w:val="00DE1364"/>
    <w:rsid w:val="00DE2615"/>
    <w:rsid w:val="00DE5837"/>
    <w:rsid w:val="00DF1756"/>
    <w:rsid w:val="00DF47EC"/>
    <w:rsid w:val="00DF529C"/>
    <w:rsid w:val="00DF6311"/>
    <w:rsid w:val="00DF67C8"/>
    <w:rsid w:val="00E00BF4"/>
    <w:rsid w:val="00E013E1"/>
    <w:rsid w:val="00E05A3C"/>
    <w:rsid w:val="00E05C12"/>
    <w:rsid w:val="00E06458"/>
    <w:rsid w:val="00E07A6C"/>
    <w:rsid w:val="00E10DB5"/>
    <w:rsid w:val="00E1238F"/>
    <w:rsid w:val="00E123A4"/>
    <w:rsid w:val="00E1246F"/>
    <w:rsid w:val="00E14CBA"/>
    <w:rsid w:val="00E14F43"/>
    <w:rsid w:val="00E1596E"/>
    <w:rsid w:val="00E17962"/>
    <w:rsid w:val="00E215E5"/>
    <w:rsid w:val="00E2171F"/>
    <w:rsid w:val="00E22D27"/>
    <w:rsid w:val="00E244FE"/>
    <w:rsid w:val="00E24BEF"/>
    <w:rsid w:val="00E27413"/>
    <w:rsid w:val="00E3075B"/>
    <w:rsid w:val="00E3108E"/>
    <w:rsid w:val="00E329F4"/>
    <w:rsid w:val="00E33C12"/>
    <w:rsid w:val="00E3426C"/>
    <w:rsid w:val="00E35A66"/>
    <w:rsid w:val="00E37705"/>
    <w:rsid w:val="00E414D9"/>
    <w:rsid w:val="00E4235C"/>
    <w:rsid w:val="00E4372E"/>
    <w:rsid w:val="00E43E7E"/>
    <w:rsid w:val="00E45C93"/>
    <w:rsid w:val="00E4604F"/>
    <w:rsid w:val="00E526A1"/>
    <w:rsid w:val="00E542CC"/>
    <w:rsid w:val="00E56624"/>
    <w:rsid w:val="00E57BFE"/>
    <w:rsid w:val="00E60D79"/>
    <w:rsid w:val="00E60DC9"/>
    <w:rsid w:val="00E619DC"/>
    <w:rsid w:val="00E62ECC"/>
    <w:rsid w:val="00E63371"/>
    <w:rsid w:val="00E6523D"/>
    <w:rsid w:val="00E65CA3"/>
    <w:rsid w:val="00E65F38"/>
    <w:rsid w:val="00E71E0C"/>
    <w:rsid w:val="00E72728"/>
    <w:rsid w:val="00E73B6A"/>
    <w:rsid w:val="00E76261"/>
    <w:rsid w:val="00E80419"/>
    <w:rsid w:val="00E84C53"/>
    <w:rsid w:val="00E84F4A"/>
    <w:rsid w:val="00E855BF"/>
    <w:rsid w:val="00E87AA1"/>
    <w:rsid w:val="00E9065C"/>
    <w:rsid w:val="00E9105A"/>
    <w:rsid w:val="00E91393"/>
    <w:rsid w:val="00E92A56"/>
    <w:rsid w:val="00EA0506"/>
    <w:rsid w:val="00EA134A"/>
    <w:rsid w:val="00EA1BE4"/>
    <w:rsid w:val="00EA1D9F"/>
    <w:rsid w:val="00EA2687"/>
    <w:rsid w:val="00EA2DE3"/>
    <w:rsid w:val="00EA2DEE"/>
    <w:rsid w:val="00EA2F3F"/>
    <w:rsid w:val="00EA3331"/>
    <w:rsid w:val="00EA7373"/>
    <w:rsid w:val="00EB07F7"/>
    <w:rsid w:val="00EB18BA"/>
    <w:rsid w:val="00EB3FEB"/>
    <w:rsid w:val="00EB4063"/>
    <w:rsid w:val="00EB40F9"/>
    <w:rsid w:val="00EB40FC"/>
    <w:rsid w:val="00EB56DC"/>
    <w:rsid w:val="00EB5811"/>
    <w:rsid w:val="00EB6D6C"/>
    <w:rsid w:val="00EB7C48"/>
    <w:rsid w:val="00EC2A3E"/>
    <w:rsid w:val="00EC2D03"/>
    <w:rsid w:val="00EC574D"/>
    <w:rsid w:val="00EC7E78"/>
    <w:rsid w:val="00ED4B2B"/>
    <w:rsid w:val="00ED6D1B"/>
    <w:rsid w:val="00ED755D"/>
    <w:rsid w:val="00EE07F9"/>
    <w:rsid w:val="00EE089A"/>
    <w:rsid w:val="00EE12A1"/>
    <w:rsid w:val="00EE61AE"/>
    <w:rsid w:val="00EE739F"/>
    <w:rsid w:val="00EF0149"/>
    <w:rsid w:val="00EF0B5D"/>
    <w:rsid w:val="00EF1142"/>
    <w:rsid w:val="00EF4696"/>
    <w:rsid w:val="00EF61FA"/>
    <w:rsid w:val="00F044E4"/>
    <w:rsid w:val="00F04FC2"/>
    <w:rsid w:val="00F055D5"/>
    <w:rsid w:val="00F062B5"/>
    <w:rsid w:val="00F114F8"/>
    <w:rsid w:val="00F12D01"/>
    <w:rsid w:val="00F142AB"/>
    <w:rsid w:val="00F151D1"/>
    <w:rsid w:val="00F15204"/>
    <w:rsid w:val="00F17F5C"/>
    <w:rsid w:val="00F200C1"/>
    <w:rsid w:val="00F203C8"/>
    <w:rsid w:val="00F2349F"/>
    <w:rsid w:val="00F23691"/>
    <w:rsid w:val="00F25771"/>
    <w:rsid w:val="00F258B6"/>
    <w:rsid w:val="00F2777F"/>
    <w:rsid w:val="00F30271"/>
    <w:rsid w:val="00F30972"/>
    <w:rsid w:val="00F32F41"/>
    <w:rsid w:val="00F344F9"/>
    <w:rsid w:val="00F34958"/>
    <w:rsid w:val="00F34FF5"/>
    <w:rsid w:val="00F35D3E"/>
    <w:rsid w:val="00F3690B"/>
    <w:rsid w:val="00F37246"/>
    <w:rsid w:val="00F41F78"/>
    <w:rsid w:val="00F435C3"/>
    <w:rsid w:val="00F44AD4"/>
    <w:rsid w:val="00F44D14"/>
    <w:rsid w:val="00F53D51"/>
    <w:rsid w:val="00F53DC7"/>
    <w:rsid w:val="00F54CA0"/>
    <w:rsid w:val="00F56B2F"/>
    <w:rsid w:val="00F56FB2"/>
    <w:rsid w:val="00F574E9"/>
    <w:rsid w:val="00F5753A"/>
    <w:rsid w:val="00F6044A"/>
    <w:rsid w:val="00F607F3"/>
    <w:rsid w:val="00F609A2"/>
    <w:rsid w:val="00F61504"/>
    <w:rsid w:val="00F61C3E"/>
    <w:rsid w:val="00F63351"/>
    <w:rsid w:val="00F65B06"/>
    <w:rsid w:val="00F6623A"/>
    <w:rsid w:val="00F66FD6"/>
    <w:rsid w:val="00F71603"/>
    <w:rsid w:val="00F71D98"/>
    <w:rsid w:val="00F72675"/>
    <w:rsid w:val="00F73167"/>
    <w:rsid w:val="00F74F5E"/>
    <w:rsid w:val="00F75029"/>
    <w:rsid w:val="00F76EBD"/>
    <w:rsid w:val="00F81A7A"/>
    <w:rsid w:val="00F84F47"/>
    <w:rsid w:val="00F850BA"/>
    <w:rsid w:val="00F866EF"/>
    <w:rsid w:val="00F86901"/>
    <w:rsid w:val="00F9071F"/>
    <w:rsid w:val="00F90881"/>
    <w:rsid w:val="00F90B57"/>
    <w:rsid w:val="00F922E2"/>
    <w:rsid w:val="00F944D9"/>
    <w:rsid w:val="00F96369"/>
    <w:rsid w:val="00F96A7D"/>
    <w:rsid w:val="00F96B41"/>
    <w:rsid w:val="00F97564"/>
    <w:rsid w:val="00F97A6D"/>
    <w:rsid w:val="00F97D23"/>
    <w:rsid w:val="00F97E01"/>
    <w:rsid w:val="00FA2632"/>
    <w:rsid w:val="00FA64F1"/>
    <w:rsid w:val="00FA7B4F"/>
    <w:rsid w:val="00FB03EC"/>
    <w:rsid w:val="00FB04E9"/>
    <w:rsid w:val="00FB1657"/>
    <w:rsid w:val="00FB40C6"/>
    <w:rsid w:val="00FB651A"/>
    <w:rsid w:val="00FC1A63"/>
    <w:rsid w:val="00FC4B2E"/>
    <w:rsid w:val="00FC64CD"/>
    <w:rsid w:val="00FC6854"/>
    <w:rsid w:val="00FC6EC2"/>
    <w:rsid w:val="00FD0A5F"/>
    <w:rsid w:val="00FD1DC3"/>
    <w:rsid w:val="00FD260C"/>
    <w:rsid w:val="00FD321C"/>
    <w:rsid w:val="00FD48B4"/>
    <w:rsid w:val="00FD5447"/>
    <w:rsid w:val="00FD569C"/>
    <w:rsid w:val="00FD6AB6"/>
    <w:rsid w:val="00FE0D45"/>
    <w:rsid w:val="00FE2317"/>
    <w:rsid w:val="00FE2BF8"/>
    <w:rsid w:val="00FE3167"/>
    <w:rsid w:val="00FE3D82"/>
    <w:rsid w:val="00FE4505"/>
    <w:rsid w:val="00FE53BF"/>
    <w:rsid w:val="00FF041D"/>
    <w:rsid w:val="00FF0D03"/>
    <w:rsid w:val="00FF1B45"/>
    <w:rsid w:val="00FF3AD6"/>
    <w:rsid w:val="00FF3AF7"/>
    <w:rsid w:val="00FF4228"/>
    <w:rsid w:val="00FF46B9"/>
    <w:rsid w:val="00FF675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78"/>
    <w:pPr>
      <w:overflowPunct w:val="0"/>
      <w:autoSpaceDE w:val="0"/>
      <w:autoSpaceDN w:val="0"/>
      <w:adjustRightInd w:val="0"/>
      <w:spacing w:after="40"/>
      <w:ind w:left="170"/>
      <w:textAlignment w:val="baseline"/>
    </w:pPr>
    <w:rPr>
      <w:rFonts w:ascii="Calibri" w:hAnsi="Calibri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F435C3"/>
    <w:pPr>
      <w:keepNext/>
      <w:spacing w:before="240" w:after="60"/>
      <w:jc w:val="center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rsid w:val="00B60336"/>
    <w:pPr>
      <w:keepNext/>
      <w:spacing w:before="200"/>
      <w:ind w:lef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5A3B11"/>
    <w:pPr>
      <w:keepNext/>
      <w:spacing w:after="0"/>
      <w:ind w:left="142" w:right="-403"/>
      <w:outlineLvl w:val="2"/>
    </w:pPr>
    <w:rPr>
      <w:rFonts w:asciiTheme="minorHAnsi" w:hAnsiTheme="minorHAnsi" w:cstheme="minorHAnsi"/>
      <w:b/>
      <w:sz w:val="24"/>
      <w:szCs w:val="24"/>
    </w:rPr>
  </w:style>
  <w:style w:type="paragraph" w:styleId="Heading4">
    <w:name w:val="heading 4"/>
    <w:basedOn w:val="Normal"/>
    <w:next w:val="Normal"/>
    <w:qFormat/>
    <w:rsid w:val="00121E40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121E40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1E40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1E40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1E40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1E40"/>
    <w:p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21E4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121E40"/>
    <w:pPr>
      <w:overflowPunct/>
      <w:autoSpaceDE/>
      <w:autoSpaceDN/>
      <w:adjustRightInd/>
      <w:textAlignment w:val="auto"/>
    </w:pPr>
  </w:style>
  <w:style w:type="paragraph" w:styleId="DocumentMap">
    <w:name w:val="Document Map"/>
    <w:basedOn w:val="Normal"/>
    <w:semiHidden/>
    <w:rsid w:val="00121E4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121E40"/>
    <w:pPr>
      <w:ind w:right="85"/>
    </w:pPr>
    <w:rPr>
      <w:sz w:val="24"/>
    </w:rPr>
  </w:style>
  <w:style w:type="paragraph" w:styleId="BlockText">
    <w:name w:val="Block Text"/>
    <w:basedOn w:val="Normal"/>
    <w:rsid w:val="00121E40"/>
    <w:pPr>
      <w:ind w:left="426" w:right="715"/>
    </w:pPr>
  </w:style>
  <w:style w:type="paragraph" w:styleId="BodyTextIndent">
    <w:name w:val="Body Text Indent"/>
    <w:basedOn w:val="Normal"/>
    <w:link w:val="BodyTextIndentChar"/>
    <w:rsid w:val="00121E40"/>
    <w:pPr>
      <w:spacing w:before="100"/>
      <w:ind w:left="851" w:hanging="142"/>
    </w:pPr>
  </w:style>
  <w:style w:type="paragraph" w:styleId="BodyText2">
    <w:name w:val="Body Text 2"/>
    <w:basedOn w:val="Normal"/>
    <w:link w:val="BodyText2Char"/>
    <w:rsid w:val="00121E40"/>
    <w:pPr>
      <w:ind w:right="-326"/>
    </w:pPr>
    <w:rPr>
      <w:rFonts w:ascii="Arial" w:hAnsi="Arial"/>
      <w:b/>
    </w:rPr>
  </w:style>
  <w:style w:type="character" w:customStyle="1" w:styleId="BodyTextIndentChar">
    <w:name w:val="Body Text Indent Char"/>
    <w:link w:val="BodyTextIndent"/>
    <w:rsid w:val="00653206"/>
    <w:rPr>
      <w:lang w:val="en-GB" w:eastAsia="en-US"/>
    </w:rPr>
  </w:style>
  <w:style w:type="character" w:customStyle="1" w:styleId="BodyText2Char">
    <w:name w:val="Body Text 2 Char"/>
    <w:link w:val="BodyText2"/>
    <w:rsid w:val="00653206"/>
    <w:rPr>
      <w:rFonts w:ascii="Arial" w:hAnsi="Arial"/>
      <w:b/>
      <w:lang w:val="en-GB" w:eastAsia="en-US"/>
    </w:rPr>
  </w:style>
  <w:style w:type="character" w:styleId="Hyperlink">
    <w:name w:val="Hyperlink"/>
    <w:uiPriority w:val="99"/>
    <w:unhideWhenUsed/>
    <w:rsid w:val="00EC7E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49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541C7"/>
    <w:pPr>
      <w:ind w:left="720"/>
      <w:contextualSpacing/>
    </w:pPr>
  </w:style>
  <w:style w:type="table" w:styleId="TableGrid">
    <w:name w:val="Table Grid"/>
    <w:basedOn w:val="TableNormal"/>
    <w:uiPriority w:val="59"/>
    <w:rsid w:val="00EA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60C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0CB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60C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A47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947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78"/>
    <w:pPr>
      <w:overflowPunct w:val="0"/>
      <w:autoSpaceDE w:val="0"/>
      <w:autoSpaceDN w:val="0"/>
      <w:adjustRightInd w:val="0"/>
      <w:spacing w:after="40"/>
      <w:ind w:left="170"/>
      <w:textAlignment w:val="baseline"/>
    </w:pPr>
    <w:rPr>
      <w:rFonts w:ascii="Calibri" w:hAnsi="Calibri"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F435C3"/>
    <w:pPr>
      <w:keepNext/>
      <w:spacing w:before="240" w:after="60"/>
      <w:jc w:val="center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rsid w:val="00B60336"/>
    <w:pPr>
      <w:keepNext/>
      <w:spacing w:before="200"/>
      <w:ind w:lef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5A3B11"/>
    <w:pPr>
      <w:keepNext/>
      <w:spacing w:after="0"/>
      <w:ind w:left="142" w:right="-403"/>
      <w:outlineLvl w:val="2"/>
    </w:pPr>
    <w:rPr>
      <w:rFonts w:asciiTheme="minorHAnsi" w:hAnsiTheme="minorHAnsi" w:cstheme="minorHAnsi"/>
      <w:b/>
      <w:sz w:val="24"/>
      <w:szCs w:val="24"/>
    </w:rPr>
  </w:style>
  <w:style w:type="paragraph" w:styleId="Heading4">
    <w:name w:val="heading 4"/>
    <w:basedOn w:val="Normal"/>
    <w:next w:val="Normal"/>
    <w:qFormat/>
    <w:rsid w:val="00121E40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121E40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1E40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1E40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1E40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1E40"/>
    <w:p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21E4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121E40"/>
    <w:pPr>
      <w:overflowPunct/>
      <w:autoSpaceDE/>
      <w:autoSpaceDN/>
      <w:adjustRightInd/>
      <w:textAlignment w:val="auto"/>
    </w:pPr>
  </w:style>
  <w:style w:type="paragraph" w:styleId="DocumentMap">
    <w:name w:val="Document Map"/>
    <w:basedOn w:val="Normal"/>
    <w:semiHidden/>
    <w:rsid w:val="00121E4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121E40"/>
    <w:pPr>
      <w:ind w:right="85"/>
    </w:pPr>
    <w:rPr>
      <w:sz w:val="24"/>
    </w:rPr>
  </w:style>
  <w:style w:type="paragraph" w:styleId="BlockText">
    <w:name w:val="Block Text"/>
    <w:basedOn w:val="Normal"/>
    <w:rsid w:val="00121E40"/>
    <w:pPr>
      <w:ind w:left="426" w:right="715"/>
    </w:pPr>
  </w:style>
  <w:style w:type="paragraph" w:styleId="BodyTextIndent">
    <w:name w:val="Body Text Indent"/>
    <w:basedOn w:val="Normal"/>
    <w:link w:val="BodyTextIndentChar"/>
    <w:rsid w:val="00121E40"/>
    <w:pPr>
      <w:spacing w:before="100"/>
      <w:ind w:left="851" w:hanging="142"/>
    </w:pPr>
  </w:style>
  <w:style w:type="paragraph" w:styleId="BodyText2">
    <w:name w:val="Body Text 2"/>
    <w:basedOn w:val="Normal"/>
    <w:link w:val="BodyText2Char"/>
    <w:rsid w:val="00121E40"/>
    <w:pPr>
      <w:ind w:right="-326"/>
    </w:pPr>
    <w:rPr>
      <w:rFonts w:ascii="Arial" w:hAnsi="Arial"/>
      <w:b/>
    </w:rPr>
  </w:style>
  <w:style w:type="character" w:customStyle="1" w:styleId="BodyTextIndentChar">
    <w:name w:val="Body Text Indent Char"/>
    <w:link w:val="BodyTextIndent"/>
    <w:rsid w:val="00653206"/>
    <w:rPr>
      <w:lang w:val="en-GB" w:eastAsia="en-US"/>
    </w:rPr>
  </w:style>
  <w:style w:type="character" w:customStyle="1" w:styleId="BodyText2Char">
    <w:name w:val="Body Text 2 Char"/>
    <w:link w:val="BodyText2"/>
    <w:rsid w:val="00653206"/>
    <w:rPr>
      <w:rFonts w:ascii="Arial" w:hAnsi="Arial"/>
      <w:b/>
      <w:lang w:val="en-GB" w:eastAsia="en-US"/>
    </w:rPr>
  </w:style>
  <w:style w:type="character" w:styleId="Hyperlink">
    <w:name w:val="Hyperlink"/>
    <w:uiPriority w:val="99"/>
    <w:unhideWhenUsed/>
    <w:rsid w:val="00EC7E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49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541C7"/>
    <w:pPr>
      <w:ind w:left="720"/>
      <w:contextualSpacing/>
    </w:pPr>
  </w:style>
  <w:style w:type="table" w:styleId="TableGrid">
    <w:name w:val="Table Grid"/>
    <w:basedOn w:val="TableNormal"/>
    <w:uiPriority w:val="59"/>
    <w:rsid w:val="00EA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60C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0CB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60C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A47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94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entagain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nancy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9DF1-2F85-4BBA-B75C-6D3F39D4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 Invitation to join</vt:lpstr>
    </vt:vector>
  </TitlesOfParts>
  <Company/>
  <LinksUpToDate>false</LinksUpToDate>
  <CharactersWithSpaces>5978</CharactersWithSpaces>
  <SharedDoc>false</SharedDoc>
  <HLinks>
    <vt:vector size="18" baseType="variant">
      <vt:variant>
        <vt:i4>524382</vt:i4>
      </vt:variant>
      <vt:variant>
        <vt:i4>6</vt:i4>
      </vt:variant>
      <vt:variant>
        <vt:i4>0</vt:i4>
      </vt:variant>
      <vt:variant>
        <vt:i4>5</vt:i4>
      </vt:variant>
      <vt:variant>
        <vt:lpwstr>http://www.kanes.co.nz/scpia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http://www.kanes.co.nz/scpia</vt:lpwstr>
      </vt:variant>
      <vt:variant>
        <vt:lpwstr/>
      </vt:variant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mailto:scpia@kanes.co.nz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 Invitation to join</dc:title>
  <dc:creator>LE Kane</dc:creator>
  <cp:lastModifiedBy>Lloyd</cp:lastModifiedBy>
  <cp:revision>16</cp:revision>
  <cp:lastPrinted>2022-04-25T22:56:00Z</cp:lastPrinted>
  <dcterms:created xsi:type="dcterms:W3CDTF">2024-05-03T01:12:00Z</dcterms:created>
  <dcterms:modified xsi:type="dcterms:W3CDTF">2024-05-03T01:37:00Z</dcterms:modified>
</cp:coreProperties>
</file>